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F8E" w:rsidRDefault="00267F8E" w:rsidP="00267F8E">
      <w:pPr>
        <w:pStyle w:val="Textoindependiente"/>
        <w:spacing w:after="0" w:line="360" w:lineRule="auto"/>
        <w:contextualSpacing/>
        <w:jc w:val="center"/>
        <w:rPr>
          <w:rFonts w:ascii="Arial" w:hAnsi="Arial" w:cs="Arial"/>
          <w:b/>
          <w:sz w:val="28"/>
          <w:szCs w:val="24"/>
        </w:rPr>
      </w:pPr>
      <w:r w:rsidRPr="00C94F64">
        <w:rPr>
          <w:rFonts w:ascii="Arial" w:hAnsi="Arial" w:cs="Arial"/>
          <w:b/>
          <w:sz w:val="28"/>
          <w:szCs w:val="24"/>
        </w:rPr>
        <w:t>Alimentación, comida, cocina y gastronomía</w:t>
      </w:r>
    </w:p>
    <w:p w:rsidR="00267F8E" w:rsidRPr="00C94F64" w:rsidRDefault="00267F8E" w:rsidP="00267F8E">
      <w:pPr>
        <w:pStyle w:val="Textoindependiente"/>
        <w:spacing w:after="0" w:line="360" w:lineRule="auto"/>
        <w:contextualSpacing/>
        <w:jc w:val="center"/>
        <w:rPr>
          <w:rFonts w:ascii="Arial" w:hAnsi="Arial" w:cs="Arial"/>
          <w:b/>
          <w:sz w:val="28"/>
          <w:szCs w:val="24"/>
        </w:rPr>
      </w:pPr>
    </w:p>
    <w:p w:rsidR="00267F8E" w:rsidRPr="00BB1C3C" w:rsidRDefault="00267F8E" w:rsidP="00267F8E">
      <w:pPr>
        <w:pStyle w:val="Textoindependiente"/>
        <w:spacing w:after="0" w:line="240" w:lineRule="auto"/>
        <w:contextualSpacing/>
        <w:jc w:val="right"/>
        <w:rPr>
          <w:rFonts w:ascii="Arial" w:hAnsi="Arial" w:cs="Arial"/>
          <w:sz w:val="24"/>
          <w:szCs w:val="24"/>
        </w:rPr>
      </w:pPr>
      <w:proofErr w:type="spellStart"/>
      <w:r w:rsidRPr="00BB1C3C">
        <w:rPr>
          <w:rFonts w:ascii="Arial" w:hAnsi="Arial" w:cs="Arial"/>
          <w:sz w:val="24"/>
          <w:szCs w:val="24"/>
        </w:rPr>
        <w:t>Guy</w:t>
      </w:r>
      <w:proofErr w:type="spellEnd"/>
      <w:r w:rsidRPr="00BB1C3C">
        <w:rPr>
          <w:rFonts w:ascii="Arial" w:hAnsi="Arial" w:cs="Arial"/>
          <w:sz w:val="24"/>
          <w:szCs w:val="24"/>
        </w:rPr>
        <w:t xml:space="preserve"> </w:t>
      </w:r>
      <w:proofErr w:type="spellStart"/>
      <w:r w:rsidRPr="00BB1C3C">
        <w:rPr>
          <w:rFonts w:ascii="Arial" w:hAnsi="Arial" w:cs="Arial"/>
          <w:sz w:val="24"/>
          <w:szCs w:val="24"/>
        </w:rPr>
        <w:t>Rozat</w:t>
      </w:r>
      <w:proofErr w:type="spellEnd"/>
      <w:r w:rsidRPr="00BB1C3C">
        <w:rPr>
          <w:rFonts w:ascii="Arial" w:hAnsi="Arial" w:cs="Arial"/>
          <w:sz w:val="24"/>
          <w:szCs w:val="24"/>
        </w:rPr>
        <w:t xml:space="preserve"> </w:t>
      </w:r>
      <w:proofErr w:type="spellStart"/>
      <w:r w:rsidRPr="00BB1C3C">
        <w:rPr>
          <w:rFonts w:ascii="Arial" w:hAnsi="Arial" w:cs="Arial"/>
          <w:sz w:val="24"/>
          <w:szCs w:val="24"/>
        </w:rPr>
        <w:t>Dupeyron</w:t>
      </w:r>
      <w:proofErr w:type="spellEnd"/>
    </w:p>
    <w:p w:rsidR="00267F8E" w:rsidRPr="00BB1C3C" w:rsidRDefault="00267F8E" w:rsidP="00267F8E">
      <w:pPr>
        <w:pStyle w:val="Textoindependiente"/>
        <w:spacing w:after="0" w:line="240" w:lineRule="auto"/>
        <w:contextualSpacing/>
        <w:jc w:val="right"/>
        <w:rPr>
          <w:rFonts w:ascii="Arial" w:hAnsi="Arial" w:cs="Arial"/>
          <w:sz w:val="24"/>
          <w:szCs w:val="24"/>
        </w:rPr>
      </w:pPr>
      <w:r w:rsidRPr="00BB1C3C">
        <w:rPr>
          <w:rFonts w:ascii="Arial" w:hAnsi="Arial" w:cs="Arial"/>
          <w:sz w:val="24"/>
          <w:szCs w:val="24"/>
        </w:rPr>
        <w:t>INAH-Veracruz, Jalapa</w:t>
      </w:r>
    </w:p>
    <w:p w:rsidR="00267F8E" w:rsidRPr="00BB1C3C" w:rsidRDefault="00267F8E" w:rsidP="00267F8E">
      <w:pPr>
        <w:pStyle w:val="Textoindependiente"/>
        <w:spacing w:after="0" w:line="240" w:lineRule="auto"/>
        <w:contextualSpacing/>
        <w:jc w:val="right"/>
        <w:rPr>
          <w:rFonts w:ascii="Arial" w:hAnsi="Arial" w:cs="Arial"/>
          <w:sz w:val="24"/>
          <w:szCs w:val="24"/>
        </w:rPr>
      </w:pPr>
      <w:r w:rsidRPr="00BB1C3C">
        <w:rPr>
          <w:rFonts w:ascii="Arial" w:hAnsi="Arial" w:cs="Arial"/>
          <w:sz w:val="24"/>
          <w:szCs w:val="24"/>
        </w:rPr>
        <w:t>grozat@gmail.com</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b/>
          <w:sz w:val="24"/>
          <w:szCs w:val="24"/>
        </w:rPr>
        <w:t>Resumen</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Este ensayo tiene como objetivo tratar de definir los ejes de una investigación sistemática de los fenómenos culinarios y alimentarios del presente y pasado de México. Para ello se revisan algunos lugares comunes que pertenecen al saber compartido sobre el tema y se propone diferenciar estrategias de reflexión y análisis sistemático. </w:t>
      </w:r>
    </w:p>
    <w:p w:rsidR="00267F8E"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b/>
          <w:sz w:val="24"/>
          <w:szCs w:val="24"/>
        </w:rPr>
        <w:t>Palabras clave:</w:t>
      </w:r>
      <w:r w:rsidRPr="00BB1C3C">
        <w:rPr>
          <w:rFonts w:ascii="Arial" w:hAnsi="Arial" w:cs="Arial"/>
          <w:sz w:val="24"/>
          <w:szCs w:val="24"/>
        </w:rPr>
        <w:t xml:space="preserve"> Hambre, relación con la naturaleza, alimentación, comida mexicana, comida tradicional mexicana.</w:t>
      </w:r>
    </w:p>
    <w:p w:rsidR="00267F8E" w:rsidRPr="00BB1C3C" w:rsidRDefault="00267F8E" w:rsidP="00267F8E">
      <w:pPr>
        <w:pStyle w:val="Textoindependiente"/>
        <w:spacing w:after="0" w:line="360" w:lineRule="auto"/>
        <w:contextualSpacing/>
        <w:jc w:val="both"/>
        <w:rPr>
          <w:rFonts w:ascii="Arial" w:hAnsi="Arial" w:cs="Arial"/>
          <w:sz w:val="24"/>
          <w:szCs w:val="24"/>
        </w:rPr>
      </w:pPr>
    </w:p>
    <w:p w:rsidR="00267F8E" w:rsidRPr="00BB1C3C" w:rsidRDefault="00267F8E" w:rsidP="00267F8E">
      <w:pPr>
        <w:pStyle w:val="Textoindependiente"/>
        <w:spacing w:after="0" w:line="360" w:lineRule="auto"/>
        <w:contextualSpacing/>
        <w:jc w:val="both"/>
        <w:rPr>
          <w:rFonts w:ascii="Arial" w:hAnsi="Arial" w:cs="Arial"/>
          <w:b/>
          <w:bCs/>
          <w:iCs/>
          <w:sz w:val="24"/>
          <w:szCs w:val="24"/>
        </w:rPr>
      </w:pPr>
      <w:r w:rsidRPr="00BB1C3C">
        <w:rPr>
          <w:rFonts w:ascii="Arial" w:hAnsi="Arial" w:cs="Arial"/>
          <w:b/>
          <w:bCs/>
          <w:iCs/>
          <w:sz w:val="24"/>
          <w:szCs w:val="24"/>
        </w:rPr>
        <w:t>La alimentación del hombre como decisión cultural</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Si se parte de la trivial observación de que ni siquiera una simple vaca que pasta en una pradera come cualquier planta, sino más bien las hierbas que aprendió a reconocer como las mejores, según la experiencia o la imitación de otras vacas, no debe extrañar que un animal como el hombre haya escogido de manera cuidadosa (desde hace muchos miles de años) ciertos elementos para su subsistencia, en cualquier medio en el que se desarrollara. En la medida en que el hombre es más bien omnívoro, es decir, todo producto es susceptible de ser parte de su alimentación, es evidente que cada grupo o cultura organiza y codifica los usos propios de los elementos que selecciona en esa inmensidad de recursos naturales a su alcance.</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Por otra parte, es muy probable que al menos desde hace 100 mil años, desde el triunfo del </w:t>
      </w:r>
      <w:r w:rsidRPr="00BB1C3C">
        <w:rPr>
          <w:rFonts w:ascii="Arial" w:hAnsi="Arial" w:cs="Arial"/>
          <w:i/>
          <w:sz w:val="24"/>
          <w:szCs w:val="24"/>
        </w:rPr>
        <w:t xml:space="preserve">homo sapiens </w:t>
      </w:r>
      <w:proofErr w:type="spellStart"/>
      <w:r w:rsidRPr="00BB1C3C">
        <w:rPr>
          <w:rFonts w:ascii="Arial" w:hAnsi="Arial" w:cs="Arial"/>
          <w:i/>
          <w:sz w:val="24"/>
          <w:szCs w:val="24"/>
        </w:rPr>
        <w:t>sapiens</w:t>
      </w:r>
      <w:proofErr w:type="spellEnd"/>
      <w:r w:rsidRPr="00BB1C3C">
        <w:rPr>
          <w:rFonts w:ascii="Arial" w:hAnsi="Arial" w:cs="Arial"/>
          <w:i/>
          <w:sz w:val="24"/>
          <w:szCs w:val="24"/>
        </w:rPr>
        <w:t>,</w:t>
      </w:r>
      <w:r w:rsidRPr="00BB1C3C">
        <w:rPr>
          <w:rFonts w:ascii="Arial" w:hAnsi="Arial" w:cs="Arial"/>
          <w:sz w:val="24"/>
          <w:szCs w:val="24"/>
        </w:rPr>
        <w:t xml:space="preserve"> no fuera el hambre el único motor de esa investigación de la naturaleza y sus recursos, sino también la curiosidad y el placer. No puede negarse que en sus grandes migraciones ese gran ancestro haya tenido hambre, sobre todo cuando entraba en espacios nuevos, pero la experiencia acumulada en situaciones anteriores y sus capacidades de observación y deducción le permitieron resolver ese problema inmediato de la </w:t>
      </w:r>
      <w:r w:rsidRPr="00BB1C3C">
        <w:rPr>
          <w:rFonts w:ascii="Arial" w:hAnsi="Arial" w:cs="Arial"/>
          <w:sz w:val="24"/>
          <w:szCs w:val="24"/>
        </w:rPr>
        <w:lastRenderedPageBreak/>
        <w:t>sobrevivencia sin muchos problemas.</w:t>
      </w:r>
      <w:r w:rsidRPr="00BB1C3C">
        <w:rPr>
          <w:rStyle w:val="Refdenotaalpie"/>
          <w:rFonts w:ascii="Arial" w:hAnsi="Arial" w:cs="Arial"/>
          <w:sz w:val="24"/>
          <w:szCs w:val="24"/>
        </w:rPr>
        <w:footnoteReference w:id="1"/>
      </w:r>
      <w:r w:rsidRPr="00BB1C3C">
        <w:rPr>
          <w:rFonts w:ascii="Arial" w:hAnsi="Arial" w:cs="Arial"/>
          <w:sz w:val="24"/>
          <w:szCs w:val="24"/>
        </w:rPr>
        <w:t xml:space="preserve"> Por otra parte, es posible considerar evidente que el movimiento de sus desplazamientos, lentos pero continuos, hacía posible esa acumulación de experiencias alimentarias y adaptación a un entorno “nuevo”, pero ecológicamente poco diferente.</w:t>
      </w:r>
    </w:p>
    <w:p w:rsidR="00267F8E" w:rsidRPr="00C94F64" w:rsidRDefault="00267F8E" w:rsidP="00267F8E">
      <w:pPr>
        <w:pStyle w:val="Textoindependiente"/>
        <w:spacing w:after="0" w:line="360" w:lineRule="auto"/>
        <w:contextualSpacing/>
        <w:jc w:val="both"/>
        <w:rPr>
          <w:rFonts w:ascii="Arial" w:hAnsi="Arial" w:cs="Arial"/>
          <w:b/>
          <w:bCs/>
          <w:iCs/>
          <w:sz w:val="24"/>
          <w:szCs w:val="24"/>
        </w:rPr>
      </w:pPr>
    </w:p>
    <w:p w:rsidR="00267F8E" w:rsidRPr="00C94F64" w:rsidRDefault="00267F8E" w:rsidP="00267F8E">
      <w:pPr>
        <w:pStyle w:val="Textoindependiente"/>
        <w:spacing w:after="0" w:line="360" w:lineRule="auto"/>
        <w:contextualSpacing/>
        <w:jc w:val="both"/>
        <w:rPr>
          <w:rFonts w:ascii="Arial" w:hAnsi="Arial" w:cs="Arial"/>
          <w:b/>
          <w:bCs/>
          <w:iCs/>
          <w:sz w:val="24"/>
          <w:szCs w:val="24"/>
        </w:rPr>
      </w:pPr>
      <w:r w:rsidRPr="00C94F64">
        <w:rPr>
          <w:rFonts w:ascii="Arial" w:hAnsi="Arial" w:cs="Arial"/>
          <w:b/>
          <w:bCs/>
          <w:iCs/>
          <w:sz w:val="24"/>
          <w:szCs w:val="24"/>
        </w:rPr>
        <w:t>¿El hambre en América?</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Lo anterior no significa que en la historia humana no existieran catástrofes naturales o accidentes diversos que pusieron a los hombres al borde del hambre; se conocen la capa</w:t>
      </w:r>
      <w:r>
        <w:rPr>
          <w:rFonts w:ascii="Arial" w:hAnsi="Arial" w:cs="Arial"/>
          <w:sz w:val="24"/>
          <w:szCs w:val="24"/>
        </w:rPr>
        <w:t xml:space="preserve">cidad destructiva, por ejemplo </w:t>
      </w:r>
      <w:r w:rsidRPr="00BB1C3C">
        <w:rPr>
          <w:rFonts w:ascii="Arial" w:hAnsi="Arial" w:cs="Arial"/>
          <w:sz w:val="24"/>
          <w:szCs w:val="24"/>
        </w:rPr>
        <w:t>de los grandes huracanes tropicales, o la violencia del frío repentino en las grandes llanuras americanas, que en algunas horas pueden congelar a hombres y animales.</w:t>
      </w:r>
      <w:r w:rsidRPr="00BB1C3C">
        <w:rPr>
          <w:rStyle w:val="Refdenotaalpie"/>
          <w:rFonts w:ascii="Arial" w:hAnsi="Arial" w:cs="Arial"/>
          <w:sz w:val="24"/>
          <w:szCs w:val="24"/>
        </w:rPr>
        <w:footnoteReference w:id="2"/>
      </w:r>
      <w:r w:rsidRPr="00BB1C3C">
        <w:rPr>
          <w:rFonts w:ascii="Arial" w:hAnsi="Arial" w:cs="Arial"/>
          <w:sz w:val="24"/>
          <w:szCs w:val="24"/>
        </w:rPr>
        <w:t xml:space="preserve">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En realidad, las capacidades intelectuales del hombre como género </w:t>
      </w:r>
      <w:r w:rsidRPr="00BB1C3C">
        <w:rPr>
          <w:rFonts w:ascii="Arial" w:hAnsi="Arial" w:cs="Arial"/>
          <w:i/>
          <w:sz w:val="24"/>
          <w:szCs w:val="24"/>
        </w:rPr>
        <w:t>sapiens</w:t>
      </w:r>
      <w:r w:rsidRPr="00BB1C3C">
        <w:rPr>
          <w:rFonts w:ascii="Arial" w:hAnsi="Arial" w:cs="Arial"/>
          <w:sz w:val="24"/>
          <w:szCs w:val="24"/>
        </w:rPr>
        <w:t>, además de esos episodios paroxísticos, le permitieron casi siempre escoger entre varias soluciones para su alimentación y crear, desarrollar y multiplicar incluso los elementos naturales que más le gustaban.</w:t>
      </w:r>
      <w:r w:rsidRPr="00BB1C3C">
        <w:rPr>
          <w:rStyle w:val="Refdenotaalpie"/>
          <w:rFonts w:ascii="Arial" w:hAnsi="Arial" w:cs="Arial"/>
          <w:sz w:val="24"/>
          <w:szCs w:val="24"/>
        </w:rPr>
        <w:footnoteReference w:id="3"/>
      </w:r>
      <w:r w:rsidRPr="00BB1C3C">
        <w:rPr>
          <w:rFonts w:ascii="Arial" w:hAnsi="Arial" w:cs="Arial"/>
          <w:sz w:val="24"/>
          <w:szCs w:val="24"/>
        </w:rPr>
        <w:t xml:space="preserve"> Uno de los impedimentos mayores para pensar en las alimentaciones antiguas es esa idea </w:t>
      </w:r>
      <w:proofErr w:type="spellStart"/>
      <w:r w:rsidRPr="00BB1C3C">
        <w:rPr>
          <w:rFonts w:ascii="Arial" w:hAnsi="Arial" w:cs="Arial"/>
          <w:sz w:val="24"/>
          <w:szCs w:val="24"/>
        </w:rPr>
        <w:t>miserabilista</w:t>
      </w:r>
      <w:proofErr w:type="spellEnd"/>
      <w:r w:rsidRPr="00BB1C3C">
        <w:rPr>
          <w:rFonts w:ascii="Arial" w:hAnsi="Arial" w:cs="Arial"/>
          <w:sz w:val="24"/>
          <w:szCs w:val="24"/>
        </w:rPr>
        <w:t xml:space="preserve"> de la impotencia de las antiguas poblaciones frente a su entorno. </w:t>
      </w:r>
    </w:p>
    <w:p w:rsidR="00267F8E"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Un ejemplo típico de ese discurso acerca de la impotencia de las sociedades antiguas se puede reconocer en muchos textos sobre las antiguas culturas </w:t>
      </w:r>
      <w:r w:rsidRPr="00BB1C3C">
        <w:rPr>
          <w:rFonts w:ascii="Arial" w:hAnsi="Arial" w:cs="Arial"/>
          <w:sz w:val="24"/>
          <w:szCs w:val="24"/>
        </w:rPr>
        <w:lastRenderedPageBreak/>
        <w:t xml:space="preserve">americanas, bajo el concepto de “el discurso de la ausencia”, que se puede resumir como sigue: las grandes culturas americanas fueron brillantes, </w:t>
      </w:r>
      <w:r w:rsidRPr="00BB1C3C">
        <w:rPr>
          <w:rFonts w:ascii="Arial" w:hAnsi="Arial" w:cs="Arial"/>
          <w:i/>
          <w:sz w:val="24"/>
          <w:szCs w:val="24"/>
        </w:rPr>
        <w:t>pero</w:t>
      </w:r>
      <w:r w:rsidRPr="00BB1C3C">
        <w:rPr>
          <w:rFonts w:ascii="Arial" w:hAnsi="Arial" w:cs="Arial"/>
          <w:sz w:val="24"/>
          <w:szCs w:val="24"/>
        </w:rPr>
        <w:t xml:space="preserve"> les faltaron el hierro para el arado y el aumento de su producción agrícola, los animales domésticos para desarrollar su fuerza motriz, la rueda para un sostenido intercambio, etc.</w:t>
      </w:r>
      <w:r w:rsidRPr="00BB1C3C">
        <w:rPr>
          <w:rStyle w:val="Refdenotaalpie"/>
          <w:rFonts w:ascii="Arial" w:hAnsi="Arial" w:cs="Arial"/>
          <w:sz w:val="24"/>
          <w:szCs w:val="24"/>
        </w:rPr>
        <w:footnoteReference w:id="4"/>
      </w:r>
      <w:r w:rsidRPr="00BB1C3C">
        <w:rPr>
          <w:rFonts w:ascii="Arial" w:hAnsi="Arial" w:cs="Arial"/>
          <w:sz w:val="24"/>
          <w:szCs w:val="24"/>
        </w:rPr>
        <w:t xml:space="preserve"> Es una idea de “la ausencia” que siempre acompañaba a la rancia concepción  de que la humanidad estaba metida en una marcha hacia una meta clara, hacia </w:t>
      </w:r>
      <w:r w:rsidRPr="00BB1C3C">
        <w:rPr>
          <w:rFonts w:ascii="Arial" w:hAnsi="Arial" w:cs="Arial"/>
          <w:i/>
          <w:sz w:val="24"/>
          <w:szCs w:val="24"/>
        </w:rPr>
        <w:t>el progreso</w:t>
      </w:r>
      <w:r w:rsidRPr="00BB1C3C">
        <w:rPr>
          <w:rFonts w:ascii="Arial" w:hAnsi="Arial" w:cs="Arial"/>
          <w:sz w:val="24"/>
          <w:szCs w:val="24"/>
        </w:rPr>
        <w:t xml:space="preserve">, y ello hasta su asunción contemporánea. Pero debe constatarse en la actualidad que esa forma de “progreso” no ha logrado cumplir sus promesas de felicidad, por lo menos en cuanto a asegurar a toda la humanidad lo mínimo: su subsistencia cotidiana.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p>
    <w:p w:rsidR="00267F8E" w:rsidRPr="00BB1C3C" w:rsidRDefault="00267F8E" w:rsidP="00267F8E">
      <w:pPr>
        <w:pStyle w:val="Textoindependiente"/>
        <w:spacing w:after="0" w:line="360" w:lineRule="auto"/>
        <w:contextualSpacing/>
        <w:jc w:val="both"/>
        <w:rPr>
          <w:rFonts w:ascii="Arial" w:hAnsi="Arial" w:cs="Arial"/>
          <w:b/>
          <w:sz w:val="24"/>
          <w:szCs w:val="24"/>
        </w:rPr>
      </w:pPr>
      <w:r w:rsidRPr="00BB1C3C">
        <w:rPr>
          <w:rFonts w:ascii="Arial" w:hAnsi="Arial" w:cs="Arial"/>
          <w:b/>
          <w:sz w:val="24"/>
          <w:szCs w:val="24"/>
        </w:rPr>
        <w:t>Una paulatina destrucción</w:t>
      </w:r>
    </w:p>
    <w:p w:rsidR="00267F8E"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Es probable que si pudiera rehacerse la historia de la biomasa global del planeta y cuantificarla, se advertiría que la parte disponible hoy para los hombres, a pesar de la extensión de las superficies cultivadas de los últimos siglos, ha retrocedido de manera drástica en los cinco últimos siglos. Debe recordarse cómo, por ejemplo, los </w:t>
      </w:r>
      <w:proofErr w:type="spellStart"/>
      <w:r w:rsidRPr="00BB1C3C">
        <w:rPr>
          <w:rFonts w:ascii="Arial" w:hAnsi="Arial" w:cs="Arial"/>
          <w:sz w:val="24"/>
          <w:szCs w:val="24"/>
        </w:rPr>
        <w:t>oceanos</w:t>
      </w:r>
      <w:proofErr w:type="spellEnd"/>
      <w:r w:rsidRPr="00BB1C3C">
        <w:rPr>
          <w:rFonts w:ascii="Arial" w:hAnsi="Arial" w:cs="Arial"/>
          <w:sz w:val="24"/>
          <w:szCs w:val="24"/>
        </w:rPr>
        <w:t xml:space="preserve"> no se explotaron en realidad de manera intensiva y sistemática sino sólo hasta hace dos siglos; además, hoy día no sólo están contaminados, sino que varias especies de pescados y mamíferos marinos están casi al borde de la extinción, sin mencionar ya todas las especies hoy desaparecidas.</w:t>
      </w:r>
      <w:r w:rsidRPr="00BB1C3C">
        <w:rPr>
          <w:rStyle w:val="Refdenotaalpie"/>
          <w:rFonts w:ascii="Arial" w:hAnsi="Arial" w:cs="Arial"/>
          <w:sz w:val="24"/>
          <w:szCs w:val="24"/>
        </w:rPr>
        <w:footnoteReference w:id="5"/>
      </w:r>
      <w:r w:rsidRPr="00BB1C3C">
        <w:rPr>
          <w:rFonts w:ascii="Arial" w:hAnsi="Arial" w:cs="Arial"/>
          <w:sz w:val="24"/>
          <w:szCs w:val="24"/>
        </w:rPr>
        <w:t xml:space="preserve"> En resumen, hasta antes de la modernidad los hombres habían </w:t>
      </w:r>
      <w:r w:rsidRPr="00BB1C3C">
        <w:rPr>
          <w:rFonts w:ascii="Arial" w:hAnsi="Arial" w:cs="Arial"/>
          <w:sz w:val="24"/>
          <w:szCs w:val="24"/>
        </w:rPr>
        <w:lastRenderedPageBreak/>
        <w:t>sabido desarrollar y conservar “pequeñas sociedades de abundancia”, adaptando sus costumbres y necesidades a los universos bióticos.</w:t>
      </w:r>
      <w:r w:rsidRPr="00BB1C3C">
        <w:rPr>
          <w:rStyle w:val="Refdenotaalpie"/>
          <w:rFonts w:ascii="Arial" w:hAnsi="Arial" w:cs="Arial"/>
          <w:sz w:val="24"/>
          <w:szCs w:val="24"/>
        </w:rPr>
        <w:footnoteReference w:id="6"/>
      </w:r>
      <w:r w:rsidRPr="00BB1C3C">
        <w:rPr>
          <w:rFonts w:ascii="Arial" w:hAnsi="Arial" w:cs="Arial"/>
          <w:sz w:val="24"/>
          <w:szCs w:val="24"/>
        </w:rPr>
        <w:t xml:space="preserve"> </w:t>
      </w:r>
    </w:p>
    <w:p w:rsidR="00267F8E" w:rsidRPr="00BB1C3C" w:rsidRDefault="00267F8E" w:rsidP="00267F8E">
      <w:pPr>
        <w:pStyle w:val="Textoindependiente"/>
        <w:spacing w:after="0" w:line="360" w:lineRule="auto"/>
        <w:contextualSpacing/>
        <w:jc w:val="both"/>
        <w:rPr>
          <w:rFonts w:ascii="Arial" w:hAnsi="Arial" w:cs="Arial"/>
          <w:sz w:val="24"/>
          <w:szCs w:val="24"/>
        </w:rPr>
      </w:pPr>
    </w:p>
    <w:p w:rsidR="00267F8E" w:rsidRPr="00C94F64" w:rsidRDefault="00267F8E" w:rsidP="00267F8E">
      <w:pPr>
        <w:pStyle w:val="Textoindependiente"/>
        <w:spacing w:after="0" w:line="360" w:lineRule="auto"/>
        <w:contextualSpacing/>
        <w:rPr>
          <w:rFonts w:ascii="Arial" w:hAnsi="Arial" w:cs="Arial"/>
          <w:b/>
          <w:bCs/>
          <w:iCs/>
          <w:sz w:val="24"/>
          <w:szCs w:val="24"/>
        </w:rPr>
      </w:pPr>
      <w:r w:rsidRPr="00C94F64">
        <w:rPr>
          <w:rFonts w:ascii="Arial" w:hAnsi="Arial" w:cs="Arial"/>
          <w:b/>
          <w:bCs/>
          <w:iCs/>
          <w:sz w:val="24"/>
          <w:szCs w:val="24"/>
        </w:rPr>
        <w:t>El acto de comer como parte de una estética</w:t>
      </w:r>
    </w:p>
    <w:p w:rsidR="00267F8E" w:rsidRPr="00BB1C3C" w:rsidRDefault="00267F8E" w:rsidP="00267F8E">
      <w:pPr>
        <w:pStyle w:val="Textoindependiente"/>
        <w:spacing w:after="0" w:line="360" w:lineRule="auto"/>
        <w:contextualSpacing/>
        <w:rPr>
          <w:rFonts w:ascii="Arial" w:hAnsi="Arial" w:cs="Arial"/>
          <w:sz w:val="24"/>
          <w:szCs w:val="24"/>
        </w:rPr>
      </w:pPr>
      <w:r w:rsidRPr="00BB1C3C">
        <w:rPr>
          <w:rFonts w:ascii="Arial" w:hAnsi="Arial" w:cs="Arial"/>
          <w:sz w:val="24"/>
          <w:szCs w:val="24"/>
        </w:rPr>
        <w:t xml:space="preserve">Otra conclusión de esta primicia es que es posible considerar que el hombre es antes que todo un aficionado a la gula, pero no come cualquier cosa e incluso en esto se revela un auténtico gurmé capaz de recorrer decenas de kilómetros, o a veces más, para obtener un alimento que disfruta en particular. Sin olvidar que su dominio del fuego, desde su etapa de </w:t>
      </w:r>
      <w:r w:rsidRPr="00BB1C3C">
        <w:rPr>
          <w:rFonts w:ascii="Arial" w:hAnsi="Arial" w:cs="Arial"/>
          <w:i/>
          <w:sz w:val="24"/>
          <w:szCs w:val="24"/>
        </w:rPr>
        <w:t xml:space="preserve">homo </w:t>
      </w:r>
      <w:proofErr w:type="spellStart"/>
      <w:r w:rsidRPr="00BB1C3C">
        <w:rPr>
          <w:rFonts w:ascii="Arial" w:hAnsi="Arial" w:cs="Arial"/>
          <w:i/>
          <w:sz w:val="24"/>
          <w:szCs w:val="24"/>
        </w:rPr>
        <w:t>habilis</w:t>
      </w:r>
      <w:proofErr w:type="spellEnd"/>
      <w:r w:rsidRPr="00BB1C3C">
        <w:rPr>
          <w:rFonts w:ascii="Arial" w:hAnsi="Arial" w:cs="Arial"/>
          <w:sz w:val="24"/>
          <w:szCs w:val="24"/>
        </w:rPr>
        <w:t xml:space="preserve">, otro lejano ancestro desde un millón de años antes, había ya abierto la posibilidad de la cocción de la carne y otros productos; por lo tanto, desde esa lejana época pudieron aparecer las primeras “reglas de cocina”.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El caso de la sal es también paradigmático en esto; si bien la ausencia de sal en la alimentación desde el punto de vista médico acarrea problemas fisiológicos graves, el gusto para la sal es antes que todo (durante milenios) parte de un placer de gastrónomo. Sin sal las hierbas cocidas no tienen tanto sabor, la carne asada es más insípida, hace miles de años y aun hoy; el pan sin sal no tiene sabor, esto es, la sal actúa como un potenciador gustativo. Fue tan intenso ese gusto por la sal que probablemente dio origen a los primeros grandes intercambios económicos interregionales.</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Si se aplican también esas primicias a la historia alimentaria de los pueblos americanos, puede considerarse muy probablemente que no hubo hambre en América antes de la presencia occidental. La vida podía ser austera y dura por las condiciones climáticas, como lo fue para los pueblos inuit o las poblaciones de los “desiertos” de California, pero es muy probable que incluso en estos medios extremosos no sufrieran en verdad hambre, ya que sus capacidades les permitía conseguir suficientes recursos para su reproducción.</w:t>
      </w:r>
      <w:r w:rsidRPr="00BB1C3C">
        <w:rPr>
          <w:rStyle w:val="Refdenotaalpie"/>
          <w:rFonts w:ascii="Arial" w:hAnsi="Arial" w:cs="Arial"/>
          <w:sz w:val="24"/>
          <w:szCs w:val="24"/>
        </w:rPr>
        <w:footnoteReference w:id="7"/>
      </w:r>
    </w:p>
    <w:p w:rsidR="00267F8E"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lastRenderedPageBreak/>
        <w:t xml:space="preserve">Durante décadas áreas enormes del planeta han sido descritas por la mirada occidental como “desiertos”, pero muchas veces los grabados que acompañan a estos relatos incluyen escenas llenas de personas, plantas y animales. En consecuencia, si estas regiones son desiertos, sólo lo son hasta la presencia del colonizador, que no tarda mucho en ocupar estas regiones y dar existencia “verdadera” a sus habitantes. Por ejemplo, en un desierto extremo como el Kalahari africano, los bosquimanos, o en el </w:t>
      </w:r>
      <w:r w:rsidRPr="00BB1C3C">
        <w:rPr>
          <w:rFonts w:ascii="Arial" w:hAnsi="Arial" w:cs="Arial"/>
          <w:i/>
          <w:sz w:val="24"/>
          <w:szCs w:val="24"/>
        </w:rPr>
        <w:t>Bush</w:t>
      </w:r>
      <w:r w:rsidRPr="00BB1C3C">
        <w:rPr>
          <w:rFonts w:ascii="Arial" w:hAnsi="Arial" w:cs="Arial"/>
          <w:sz w:val="24"/>
          <w:szCs w:val="24"/>
        </w:rPr>
        <w:t xml:space="preserve"> australiano,  los aborígenes habían desarrollado grandes culturas originales; por su parte, en el desierto de Arabia, las tribus beduinas vivían a sus anchas a pesar del rigor del clima desértico. Y, para no ir tan lejos, decenas de miles de autóctonos americanos vivían en esas regiones “mexicanas” del noreste que hoy en día parecen totalmente inhóspitas y “desérticas”.</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p>
    <w:p w:rsidR="00267F8E" w:rsidRPr="00BB1C3C" w:rsidRDefault="00267F8E" w:rsidP="00267F8E">
      <w:pPr>
        <w:pStyle w:val="Textoindependiente"/>
        <w:spacing w:after="0" w:line="360" w:lineRule="auto"/>
        <w:contextualSpacing/>
        <w:jc w:val="both"/>
        <w:rPr>
          <w:rFonts w:ascii="Arial" w:hAnsi="Arial" w:cs="Arial"/>
          <w:b/>
          <w:bCs/>
          <w:iCs/>
          <w:sz w:val="24"/>
          <w:szCs w:val="24"/>
        </w:rPr>
      </w:pPr>
      <w:r w:rsidRPr="00BB1C3C">
        <w:rPr>
          <w:rFonts w:ascii="Arial" w:hAnsi="Arial" w:cs="Arial"/>
          <w:b/>
          <w:bCs/>
          <w:iCs/>
          <w:sz w:val="24"/>
          <w:szCs w:val="24"/>
        </w:rPr>
        <w:t xml:space="preserve">Pensar en una alimentación de los pueblos americanos </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Es por ello que una reflexión contemporánea acerca los usos alimentarios en México no debe influirse por prejuicios y lugares comunes heredados desde la Conquista, acerca de los modos de alimentarse de los hombres, en general, y de los americanos, en particular.</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La reflexión histórica sobre la alimentación humana, en México y América, no se ha generalizado ni sistematizado aún; empero, esto no debe extrañar.  Por ejemplo, en la culta Europa y la Francia de </w:t>
      </w:r>
      <w:r w:rsidRPr="00BB1C3C">
        <w:rPr>
          <w:rFonts w:ascii="Arial" w:hAnsi="Arial" w:cs="Arial"/>
          <w:i/>
          <w:sz w:val="24"/>
          <w:szCs w:val="24"/>
        </w:rPr>
        <w:t xml:space="preserve">Los </w:t>
      </w:r>
      <w:proofErr w:type="spellStart"/>
      <w:r w:rsidRPr="00BB1C3C">
        <w:rPr>
          <w:rFonts w:ascii="Arial" w:hAnsi="Arial" w:cs="Arial"/>
          <w:i/>
          <w:sz w:val="24"/>
          <w:szCs w:val="24"/>
        </w:rPr>
        <w:t>Annales</w:t>
      </w:r>
      <w:proofErr w:type="spellEnd"/>
      <w:r w:rsidRPr="00BB1C3C">
        <w:rPr>
          <w:rFonts w:ascii="Arial" w:hAnsi="Arial" w:cs="Arial"/>
          <w:sz w:val="24"/>
          <w:szCs w:val="24"/>
        </w:rPr>
        <w:t xml:space="preserve">, es sólo a partir del decenio de 1970 que ese conocimiento empezó a reconocerse como auténtico objeto de historia, y por último sistematizado y enseñado en la universidad. Con anterioridad, en ese país dominaba la producción de obras de recetas y reflexiones de gastrónomos y toda una producción de obras </w:t>
      </w:r>
      <w:proofErr w:type="spellStart"/>
      <w:r w:rsidRPr="00BB1C3C">
        <w:rPr>
          <w:rFonts w:ascii="Arial" w:hAnsi="Arial" w:cs="Arial"/>
          <w:sz w:val="24"/>
          <w:szCs w:val="24"/>
        </w:rPr>
        <w:t>folclorizantes</w:t>
      </w:r>
      <w:proofErr w:type="spellEnd"/>
      <w:r w:rsidRPr="00BB1C3C">
        <w:rPr>
          <w:rFonts w:ascii="Arial" w:hAnsi="Arial" w:cs="Arial"/>
          <w:sz w:val="24"/>
          <w:szCs w:val="24"/>
        </w:rPr>
        <w:t xml:space="preserve"> nacionalistas sobre la unicidad y maravillas de la cocina francesa. Por lo tanto, no debe extrañar que México esté aún en esa prehistoria científica, ya que el saber culinario perteneció durante décadas a grupos de gurmés y aficionados, poco interesados por la sistematización de un saber tan fundamental para la reproducción del hombre y las sociedades.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lastRenderedPageBreak/>
        <w:t xml:space="preserve">En la actualidad, si bien se empieza a advertir en México un cierto interés por el tema culinario desde el punto de vista histórico, sigue demasiado dominada todavía por una mirada coleccionista interesada tan sólo en recuperar elementos de un patrimonio familiar o colectivo, que se considera en vías de extinción. Una cierta visión nostálgica también privilegia los recuerdos familiares, que son importantes para las identidades individuales y grupales, pero para ser en verdad útiles para una historia de la alimentación en México deben leerse y reinterpretarse en claves historiográficas más que sentimentales. </w:t>
      </w:r>
    </w:p>
    <w:p w:rsidR="00267F8E"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Asimismo, esa historia debe desconfiar de los intereses contemporáneos de médicos, dietistas y dietólogos, y todo tipo de charlatanes,  ya que en la actualidad intentan imponer una visión </w:t>
      </w:r>
      <w:proofErr w:type="spellStart"/>
      <w:r w:rsidRPr="00BB1C3C">
        <w:rPr>
          <w:rFonts w:ascii="Arial" w:hAnsi="Arial" w:cs="Arial"/>
          <w:sz w:val="24"/>
          <w:szCs w:val="24"/>
        </w:rPr>
        <w:t>medicalizada</w:t>
      </w:r>
      <w:proofErr w:type="spellEnd"/>
      <w:r w:rsidRPr="00BB1C3C">
        <w:rPr>
          <w:rFonts w:ascii="Arial" w:hAnsi="Arial" w:cs="Arial"/>
          <w:sz w:val="24"/>
          <w:szCs w:val="24"/>
        </w:rPr>
        <w:t xml:space="preserve"> de la alimentación, que si tiene un cierto  interés para la salud pública, para los investigadores de la historia de la alimentación, dadas las confusiones que introduce, probablemente impide pensar en la coherencia y lógica en los antiguos sistemas de alimentación. Con la modernidad parecería que el hombre come, o debería comer, sólo para nutrirse, y sobre todo trabajar. El cuerpo humano debería ser una máquina funcional lista para responder a las necesidades de la producción y consumo de alimentos industrializados. Los nutriólogos calculan vitaminas, calorías o carbohidratos, pero nadie habla en realidad del placer ni de la calidad de los productos ingeridos.</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p>
    <w:p w:rsidR="00267F8E" w:rsidRPr="00BB1C3C" w:rsidRDefault="00267F8E" w:rsidP="00267F8E">
      <w:pPr>
        <w:pStyle w:val="Textoindependiente"/>
        <w:spacing w:after="0" w:line="360" w:lineRule="auto"/>
        <w:contextualSpacing/>
        <w:jc w:val="both"/>
        <w:rPr>
          <w:rFonts w:ascii="Arial" w:hAnsi="Arial" w:cs="Arial"/>
          <w:b/>
          <w:bCs/>
          <w:iCs/>
          <w:sz w:val="24"/>
          <w:szCs w:val="24"/>
        </w:rPr>
      </w:pPr>
      <w:r w:rsidRPr="00BB1C3C">
        <w:rPr>
          <w:rFonts w:ascii="Arial" w:hAnsi="Arial" w:cs="Arial"/>
          <w:b/>
          <w:bCs/>
          <w:iCs/>
          <w:sz w:val="24"/>
          <w:szCs w:val="24"/>
        </w:rPr>
        <w:t xml:space="preserve">La modernidad contra el placer </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El placer del gusto, y del comer en compañía, parece haber sido expulsado de la vida cotidiana y sólo se reintroduce algunas veces, con mucha culpa, en las escasas fiestas tradicionales o familiares en las que está autorizado “perder la línea”. Es evidente que el objetivo de esta manera de legislar sobre nuestra alimentación es abolir la idea misma de placer gustativo, ya que desemboca al parecer en terribles excesos. Cómo pensar si no en la insipidez generalizada de los alimentos modernos procesados e incluso de algunos frutos. Parecería que ese objetivo está casi alcanzado, como se puede constatar en miles de restaurantes, donde el expendio de una comida sosa y sin ningún interés para el paladar se ha generalizado, una comida que los clientes parecen felices de </w:t>
      </w:r>
      <w:r w:rsidRPr="00BB1C3C">
        <w:rPr>
          <w:rFonts w:ascii="Arial" w:hAnsi="Arial" w:cs="Arial"/>
          <w:sz w:val="24"/>
          <w:szCs w:val="24"/>
        </w:rPr>
        <w:lastRenderedPageBreak/>
        <w:t>degustar.</w:t>
      </w:r>
      <w:r w:rsidRPr="00BB1C3C">
        <w:rPr>
          <w:rStyle w:val="Refdenotaalpie"/>
          <w:rFonts w:ascii="Arial" w:hAnsi="Arial" w:cs="Arial"/>
          <w:sz w:val="24"/>
          <w:szCs w:val="24"/>
        </w:rPr>
        <w:footnoteReference w:id="8"/>
      </w:r>
      <w:r w:rsidRPr="00BB1C3C">
        <w:rPr>
          <w:rFonts w:ascii="Arial" w:hAnsi="Arial" w:cs="Arial"/>
          <w:sz w:val="24"/>
          <w:szCs w:val="24"/>
        </w:rPr>
        <w:t xml:space="preserve"> La modernidad, después de haber acabado con el sentido del olfato, sólo autorizado contra dinero, bajo la forma de perfumes costosos, o </w:t>
      </w:r>
      <w:proofErr w:type="spellStart"/>
      <w:r w:rsidRPr="00BB1C3C">
        <w:rPr>
          <w:rFonts w:ascii="Arial" w:hAnsi="Arial" w:cs="Arial"/>
          <w:i/>
          <w:iCs/>
          <w:sz w:val="24"/>
          <w:szCs w:val="24"/>
        </w:rPr>
        <w:t>bouquet</w:t>
      </w:r>
      <w:proofErr w:type="spellEnd"/>
      <w:r w:rsidRPr="00BB1C3C">
        <w:rPr>
          <w:rFonts w:ascii="Arial" w:hAnsi="Arial" w:cs="Arial"/>
          <w:i/>
          <w:iCs/>
          <w:sz w:val="24"/>
          <w:szCs w:val="24"/>
        </w:rPr>
        <w:t xml:space="preserve"> </w:t>
      </w:r>
      <w:r w:rsidRPr="00BB1C3C">
        <w:rPr>
          <w:rFonts w:ascii="Arial" w:hAnsi="Arial" w:cs="Arial"/>
          <w:sz w:val="24"/>
          <w:szCs w:val="24"/>
        </w:rPr>
        <w:t xml:space="preserve">de vinos aún más caros, ha impuesto a hombres y mujeres la vergüenza de su propio olor corporal. Ese mismo camino se sigue en la </w:t>
      </w:r>
      <w:proofErr w:type="spellStart"/>
      <w:r w:rsidRPr="00BB1C3C">
        <w:rPr>
          <w:rFonts w:ascii="Arial" w:hAnsi="Arial" w:cs="Arial"/>
          <w:sz w:val="24"/>
          <w:szCs w:val="24"/>
        </w:rPr>
        <w:t>hipermodernidad</w:t>
      </w:r>
      <w:proofErr w:type="spellEnd"/>
      <w:r w:rsidRPr="00BB1C3C">
        <w:rPr>
          <w:rFonts w:ascii="Arial" w:hAnsi="Arial" w:cs="Arial"/>
          <w:sz w:val="24"/>
          <w:szCs w:val="24"/>
        </w:rPr>
        <w:t xml:space="preserve"> o posmodernidad con el gusto; lo ideal para ese leviatán bulímico sería tragarse y aniquilar a todos los sabores naturales para hacerles desaparecer, y una vez logrado ese objetivo poder reinventar e imponer nuevos sabores “naturales” o “tradicionales”, pero esta vez puros artífices, perfectamente homologados y reconocidos de inmediato por un consumidor perfectamente condicionado.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Si se piensa por ejemplo en las manzanas, que pueden verse y comprarse en el supermercado, estos productos de la fruticultura moderna, cargados al máximo de productos químicos diversos para una conservación casi infinita, carecen hoy prácticamente de sabor (¿pero quién recuerda los antiguos sabores de las decenas de variedad de manzanas de los siglos anteriores?).</w:t>
      </w:r>
      <w:r w:rsidRPr="00BB1C3C">
        <w:rPr>
          <w:rStyle w:val="Refdenotaalpie"/>
          <w:rFonts w:ascii="Arial" w:hAnsi="Arial" w:cs="Arial"/>
          <w:sz w:val="24"/>
          <w:szCs w:val="24"/>
        </w:rPr>
        <w:footnoteReference w:id="9"/>
      </w:r>
      <w:r w:rsidRPr="00BB1C3C">
        <w:rPr>
          <w:rFonts w:ascii="Arial" w:hAnsi="Arial" w:cs="Arial"/>
          <w:sz w:val="24"/>
          <w:szCs w:val="24"/>
        </w:rPr>
        <w:t xml:space="preserve"> No obstante, en virtud de la caída de las ventas y la desafección creciente de los consumidores por ese producto industrial, en el cual se priorizaron los aspectos exteriores y los ligados a su conservación, las organizaciones de productores y los responsables agrícolas intentan en la actualidad dirigir la investigaciones especializadas en este ramo a la búsqueda de la activación de genes productores de sabores, que sean de esa misma manzana o de cualquier otra fruta con modificaciones genéticas. No obstante, es muy probable que, en el caso de tener algún éxito, no puedan jamás alcanzar a reproducir los antiguos sabores de las manzanas originarias, de esas </w:t>
      </w:r>
      <w:r w:rsidRPr="00BB1C3C">
        <w:rPr>
          <w:rFonts w:ascii="Arial" w:hAnsi="Arial" w:cs="Arial"/>
          <w:sz w:val="24"/>
          <w:szCs w:val="24"/>
        </w:rPr>
        <w:lastRenderedPageBreak/>
        <w:t>tan sabrosas que el demonio no tuvo mucha dificultad para convencer a Eva de comer.</w:t>
      </w:r>
    </w:p>
    <w:p w:rsidR="00267F8E"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En consecuencia, si hoy realmente los restaurantes mexicanos presentan casi siempre unos productos insípidos, esto no debe extrañar ya que forman parte de esa vorágine de la modernidad. Los productos de bases se elaboran industrialmente con numerosos fertilizantes e insecticidas químicos; los productos de semillas “mejoradas” y conservados se mantienen en refrigeración durante días y en ocasiones congelados durante semanas y meses; y las frutas recogidas verdes se maduran artificialmente. Es probable que la desaparición paulatina de los sabores naturales explique en parte el gusto por el azúcar y los sabores edulcorados de las poblaciones contemporáneas, víctimas de diabetes y obesidad, un efecto colateral social no previsto, pero del cual culpan a los elementos más populares, los más desprotegidos y que no pueden protestar, dado que el gusto por el azúcar procede quizá de reemplazar un conjunto de sabores ya desaparecidos y culmina con una adición nueva al azúcar impuesta por la industria alimentaria, ya que casi todos sus productos contienen alguna cantidad de azúcar o producto endulzado.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p>
    <w:p w:rsidR="00267F8E" w:rsidRPr="00BB1C3C" w:rsidRDefault="00267F8E" w:rsidP="00267F8E">
      <w:pPr>
        <w:pStyle w:val="Textoindependiente"/>
        <w:spacing w:after="0" w:line="360" w:lineRule="auto"/>
        <w:contextualSpacing/>
        <w:rPr>
          <w:rFonts w:ascii="Arial" w:hAnsi="Arial" w:cs="Arial"/>
          <w:b/>
          <w:sz w:val="24"/>
          <w:szCs w:val="24"/>
        </w:rPr>
      </w:pPr>
      <w:r w:rsidRPr="00BB1C3C">
        <w:rPr>
          <w:rFonts w:ascii="Arial" w:hAnsi="Arial" w:cs="Arial"/>
          <w:b/>
          <w:sz w:val="24"/>
          <w:szCs w:val="24"/>
        </w:rPr>
        <w:t xml:space="preserve">Primeras conclusiones: del alimento a la cocina </w:t>
      </w:r>
    </w:p>
    <w:p w:rsidR="00267F8E"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El acto de comer jamás es anodino, siempre es un acto de participación en un universo cultural. No hay cocina superior o inferior; sólo partiendo de una visión nacionalista se puede inferir que tal cocina pertenece al selecto grupo de las “grandes” cocinas del mundo. Mexicanos como franceses, o muchos otros fanáticos de otras nacionalidades, reivindican (y lo seguirán haciendo) su patrimonio culinario, la cocina de su mamá o abuela, como la más antigua y la más maravillosa del mundo, pero esta participación de las memorias colectivas de sus respectivas naciones es casi siempre un freno para entender en verdad lo que fueron las largas evoluciones y transformaciones de sus cocinas nacionales y maneras de comer. </w:t>
      </w:r>
    </w:p>
    <w:p w:rsidR="00267F8E" w:rsidRDefault="00267F8E" w:rsidP="00267F8E">
      <w:pPr>
        <w:pStyle w:val="Textoindependiente"/>
        <w:spacing w:after="0" w:line="360" w:lineRule="auto"/>
        <w:contextualSpacing/>
        <w:jc w:val="both"/>
        <w:rPr>
          <w:rFonts w:ascii="Arial" w:hAnsi="Arial" w:cs="Arial"/>
          <w:sz w:val="24"/>
          <w:szCs w:val="24"/>
        </w:rPr>
      </w:pPr>
    </w:p>
    <w:p w:rsidR="00267F8E" w:rsidRPr="00BB1C3C" w:rsidRDefault="00267F8E" w:rsidP="00267F8E">
      <w:pPr>
        <w:pStyle w:val="Textoindependiente"/>
        <w:spacing w:after="0" w:line="360" w:lineRule="auto"/>
        <w:contextualSpacing/>
        <w:jc w:val="both"/>
        <w:rPr>
          <w:rFonts w:ascii="Arial" w:hAnsi="Arial" w:cs="Arial"/>
          <w:sz w:val="24"/>
          <w:szCs w:val="24"/>
        </w:rPr>
      </w:pPr>
    </w:p>
    <w:p w:rsidR="00267F8E" w:rsidRPr="00C94F64" w:rsidRDefault="00267F8E" w:rsidP="00267F8E">
      <w:pPr>
        <w:pStyle w:val="Textoindependiente"/>
        <w:spacing w:after="0" w:line="360" w:lineRule="auto"/>
        <w:contextualSpacing/>
        <w:jc w:val="both"/>
        <w:rPr>
          <w:rFonts w:ascii="Arial" w:hAnsi="Arial" w:cs="Arial"/>
          <w:b/>
          <w:sz w:val="24"/>
          <w:szCs w:val="24"/>
        </w:rPr>
      </w:pPr>
      <w:r w:rsidRPr="00C94F64">
        <w:rPr>
          <w:rFonts w:ascii="Arial" w:hAnsi="Arial" w:cs="Arial"/>
          <w:b/>
          <w:sz w:val="24"/>
          <w:szCs w:val="24"/>
        </w:rPr>
        <w:lastRenderedPageBreak/>
        <w:t xml:space="preserve">Cómo pensar una historia de la cocina en México </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Desde hace algunas décadas han florecido colecciones de recetarios regionales mexicanos (el autor no dispone de las colecciones completas). Se puede identificar una gran ambigüedad en sus contenidos, dado que los responsables de tales escritos no tienen claro, en general, el objeto que describen. Como ejemplo se pueden encontrar muchas formas de pan de dulce que son reclamadas por los diferentes estados como indiscutiblemente propios. También se encuentran recetas parecidas en los diferentes estados y más aún cuando son vecinos y participan de la misma evolución histórica regional, ya que las fronteras de los estados fueron trazadas por otras necesidades distintas de las culturales. No se excluye a las que pertenecen al ámbito de la “cocina mexicana” y que los habitantes de los diferentes estados adoptaron en las últimas décadas. Por lo tanto, la búsqueda de las esencias nacionales de las cocinas no es solamente un error metodológico, sino que desemboca en vías peligrosas o sin salida.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Para el estudio de “la cocina nacional mexicana”, los peligros no están menos presentes. Frente al esencialismo se observa cómo el nacionalismo mexicano, a pesar de todas las críticas que se pueden hacer a esa ideología política, determina aún hoy la identidad de los mexicanos. Puede verse por ejemplo en esas descripciones dolorosas y desesperadas de la defensa del maíz y la famosa trilogía maíz-frijol-calabaza que deja en la sombra todo lo que sirvió de alimento durante siglos en estos espacios que se llaman hoy México.</w:t>
      </w:r>
      <w:r w:rsidRPr="00BB1C3C">
        <w:rPr>
          <w:rStyle w:val="Refdenotaalpie"/>
          <w:rFonts w:ascii="Arial" w:hAnsi="Arial" w:cs="Arial"/>
          <w:sz w:val="24"/>
          <w:szCs w:val="24"/>
        </w:rPr>
        <w:footnoteReference w:id="10"/>
      </w:r>
      <w:r w:rsidRPr="00BB1C3C">
        <w:rPr>
          <w:rFonts w:ascii="Arial" w:hAnsi="Arial" w:cs="Arial"/>
          <w:sz w:val="24"/>
          <w:szCs w:val="24"/>
        </w:rPr>
        <w:t xml:space="preserve"> </w:t>
      </w:r>
    </w:p>
    <w:p w:rsidR="00267F8E"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Por consiguiente, debe intentarse dilucidar un cierto número de nociones.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p>
    <w:p w:rsidR="00267F8E" w:rsidRPr="00C94F64" w:rsidRDefault="00267F8E" w:rsidP="00267F8E">
      <w:pPr>
        <w:pStyle w:val="Textoindependiente"/>
        <w:spacing w:after="0" w:line="360" w:lineRule="auto"/>
        <w:contextualSpacing/>
        <w:jc w:val="both"/>
        <w:rPr>
          <w:rFonts w:ascii="Arial" w:hAnsi="Arial" w:cs="Arial"/>
          <w:b/>
          <w:sz w:val="24"/>
          <w:szCs w:val="24"/>
        </w:rPr>
      </w:pPr>
      <w:r w:rsidRPr="00C94F64">
        <w:rPr>
          <w:rFonts w:ascii="Arial" w:hAnsi="Arial" w:cs="Arial"/>
          <w:b/>
          <w:sz w:val="24"/>
          <w:szCs w:val="24"/>
        </w:rPr>
        <w:t xml:space="preserve">La comida mexicana </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El sistema de la cocina mexicana no es atemporal, ni es lo que comen todos los mexicanos, sino un sistema de representación urbana reciente de alimentación, elaborado tal vez desde el decenio de 1940. Tampoco es probablemente en su origen un consumo muy popular, ya que incluye una sólida presencia de la carne </w:t>
      </w:r>
      <w:r w:rsidRPr="00BB1C3C">
        <w:rPr>
          <w:rFonts w:ascii="Arial" w:hAnsi="Arial" w:cs="Arial"/>
          <w:sz w:val="24"/>
          <w:szCs w:val="24"/>
        </w:rPr>
        <w:lastRenderedPageBreak/>
        <w:t>de res, introducida en las décadas de 1940 y 1950; algunos datos señalan que el alimento popular era más bien dominado aún por varias formas de consumo de maíz, en particular bajo la forma del multifacético tamal. Es pertinente mencionar lo anterior porque en esa comida mexicana el maíz parece estar más bien diluyéndose, apareciendo sólo bajo la forma de tortilla y, de modo ocasional, como tamales y esquites. Si puede aparecer, es sólo como acompañante, imprescindible para algunos, pero del que otros prescinden con gran facilidad. Incluso el sublime “taco” que parecería el centro simbólico de representación de ese sistema gastronómico, quizá está también retrocediendo. El “taco” tiene asimismo su historia, pero no debe impedir que su omnipresente masividad simbólica oblitere la posibilidad de pensar en su naturaleza profundamente histórica, y por lo tanto efímera, de todo tipo de conjuntos simbólicos y prácticas sociales. Es probable que el número de establecimientos dedicados a la venta de tacos tuviera su punto máximo en los decenios de 1980 y 1990 y tales establecimientos estaban frecuentados por intelectuales, universitarios generadores de consenso cultural y casi siempre seguidos por la pequeña burguesía urbana.</w:t>
      </w:r>
      <w:r w:rsidRPr="00BB1C3C">
        <w:rPr>
          <w:rStyle w:val="Refdenotaalpie"/>
          <w:rFonts w:ascii="Arial" w:hAnsi="Arial" w:cs="Arial"/>
          <w:sz w:val="24"/>
          <w:szCs w:val="24"/>
        </w:rPr>
        <w:footnoteReference w:id="11"/>
      </w:r>
      <w:r w:rsidRPr="00BB1C3C">
        <w:rPr>
          <w:rFonts w:ascii="Arial" w:hAnsi="Arial" w:cs="Arial"/>
          <w:sz w:val="24"/>
          <w:szCs w:val="24"/>
        </w:rPr>
        <w:t xml:space="preserve"> De forma paralela, se desarrollaba como comida mexicana la práctica de unos menús más complejos para uso más cotidiano y popular: sopa aguada o consomé, seguido de una sopa seca, pasta o arroz, a continuación guisado con sus verduras y al final un postre, los inevitables e inmortales flanes, duraznos en almíbar, plátanos con crema o gelatina o, si se quería rellenar al cliente aún más, el arroz con leche. Este conjunto se acompañaba con bebidas gaseosas o agua de frutas y café de olla. Este sistema popular también debería estudiarse para observar cómo recupera elementos antiguos, como el consomé, el flan o el arroz, y cómo hoy soporta los embates económicos o el consumo más prestigiado de elementos como la pizza, hamburguesa o extraños pollos fritos. </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Esa comida mexicana se elaboró dentro de un sistema simbólico general, el de la mexicanidad, y acompañó al auge del nacionalismo que animó al estado nacional </w:t>
      </w:r>
      <w:r w:rsidRPr="00BB1C3C">
        <w:rPr>
          <w:rFonts w:ascii="Arial" w:hAnsi="Arial" w:cs="Arial"/>
          <w:sz w:val="24"/>
          <w:szCs w:val="24"/>
        </w:rPr>
        <w:lastRenderedPageBreak/>
        <w:t xml:space="preserve">durante un poco más de medio siglo. Al mismo tiempo que “los pensadores” buscaban encontrar y definir la familia mexicana, la mujer mexicana o la filosofía mexicana, lejos de esta verborrea nacionalista en sus fogones y restaurantes, modestos cocineros u orgullosos propietarios estaban proponiendo lo que debía ser la alimentación del mexicano. Y si ese sistema culinario y representativo acompañó fielmente las representaciones que el nacionalismo mexicano se daba a sí mismo y frente al extranjero, si el partido-estado priista fue su sostén político y económico, es evidente que esa comida mexicana tenía que tambalearse, tanto más que el fin de ese monopolio político y simbólico coincidió con el cierre del ímpetu de la modernidad.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Los efectos de la mundialización acelerada desde la década de 1990 no podían dejar a la comida mexicana intacta, y eso también está por estudiarse. Tampoco debe incurrirse en esa actitud que lamenta la pérdida de la comida de la madre o la abuelita, o la sustitución del taquero de la esquina por un Oxxo, donde se nutre una  nueva generación con lo que llaman despectivamente algunas personas comida chatarra (o algo peor como las sopas </w:t>
      </w:r>
      <w:proofErr w:type="spellStart"/>
      <w:r w:rsidRPr="00BB1C3C">
        <w:rPr>
          <w:rFonts w:ascii="Arial" w:hAnsi="Arial" w:cs="Arial"/>
          <w:i/>
          <w:sz w:val="24"/>
          <w:szCs w:val="24"/>
        </w:rPr>
        <w:t>Maruchan</w:t>
      </w:r>
      <w:proofErr w:type="spellEnd"/>
      <w:r w:rsidRPr="00BB1C3C">
        <w:rPr>
          <w:rFonts w:ascii="Arial" w:hAnsi="Arial" w:cs="Arial"/>
          <w:sz w:val="24"/>
          <w:szCs w:val="24"/>
        </w:rPr>
        <w:t xml:space="preserve">).   </w:t>
      </w:r>
    </w:p>
    <w:p w:rsidR="00267F8E"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En resumen, la comida mexicana podría provenir de la inclusión de una serie de platillos y tradiciones culinarias que merecen ser diferenciadas para su estudio, pero es necesario encontrar un nuevo nombre para lo que se pretende, en relación con el turismo internacional o élite nacional y a los que se vende una “auténtica” comida mexicana.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p>
    <w:p w:rsidR="00267F8E" w:rsidRPr="00C94F64" w:rsidRDefault="00267F8E" w:rsidP="00267F8E">
      <w:pPr>
        <w:pStyle w:val="Textoindependiente"/>
        <w:spacing w:after="0" w:line="360" w:lineRule="auto"/>
        <w:contextualSpacing/>
        <w:jc w:val="both"/>
        <w:rPr>
          <w:rFonts w:ascii="Arial" w:hAnsi="Arial" w:cs="Arial"/>
          <w:b/>
          <w:bCs/>
          <w:iCs/>
          <w:sz w:val="24"/>
          <w:szCs w:val="24"/>
        </w:rPr>
      </w:pPr>
      <w:r w:rsidRPr="00C94F64">
        <w:rPr>
          <w:rFonts w:ascii="Arial" w:hAnsi="Arial" w:cs="Arial"/>
          <w:b/>
          <w:bCs/>
          <w:iCs/>
          <w:sz w:val="24"/>
          <w:szCs w:val="24"/>
        </w:rPr>
        <w:t xml:space="preserve">La comida neomexicana </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Bajo ese nombre se propone incluir al conjunto de las comidas servidas en restaurantes especializados “en comida mexicana”. Hay que apuntar que en el decenio de 1980, la pequeña burguesía universitaria que asistía a un restaurante en México con la idea de que iba a buscar una comida diferente, para celebraciones especiales, asistía a algún establecimiento más oneroso, pero más exótico o simbólicamente más marcado francés como </w:t>
      </w:r>
      <w:r w:rsidRPr="00BB1C3C">
        <w:rPr>
          <w:rFonts w:ascii="Arial" w:hAnsi="Arial" w:cs="Arial"/>
          <w:i/>
          <w:sz w:val="24"/>
          <w:szCs w:val="24"/>
        </w:rPr>
        <w:t xml:space="preserve">La </w:t>
      </w:r>
      <w:proofErr w:type="spellStart"/>
      <w:r w:rsidRPr="00BB1C3C">
        <w:rPr>
          <w:rFonts w:ascii="Arial" w:hAnsi="Arial" w:cs="Arial"/>
          <w:i/>
          <w:sz w:val="24"/>
          <w:szCs w:val="24"/>
        </w:rPr>
        <w:t>Lorraine</w:t>
      </w:r>
      <w:proofErr w:type="spellEnd"/>
      <w:r w:rsidRPr="00BB1C3C">
        <w:rPr>
          <w:rFonts w:ascii="Arial" w:hAnsi="Arial" w:cs="Arial"/>
          <w:sz w:val="24"/>
          <w:szCs w:val="24"/>
        </w:rPr>
        <w:t xml:space="preserve">, </w:t>
      </w:r>
      <w:r w:rsidRPr="00BB1C3C">
        <w:rPr>
          <w:rFonts w:ascii="Arial" w:hAnsi="Arial" w:cs="Arial"/>
          <w:i/>
          <w:sz w:val="24"/>
          <w:szCs w:val="24"/>
        </w:rPr>
        <w:t xml:space="preserve">Les </w:t>
      </w:r>
      <w:proofErr w:type="spellStart"/>
      <w:r w:rsidRPr="00BB1C3C">
        <w:rPr>
          <w:rFonts w:ascii="Arial" w:hAnsi="Arial" w:cs="Arial"/>
          <w:i/>
          <w:sz w:val="24"/>
          <w:szCs w:val="24"/>
        </w:rPr>
        <w:t>Champs</w:t>
      </w:r>
      <w:proofErr w:type="spellEnd"/>
      <w:r w:rsidRPr="00BB1C3C">
        <w:rPr>
          <w:rFonts w:ascii="Arial" w:hAnsi="Arial" w:cs="Arial"/>
          <w:i/>
          <w:sz w:val="24"/>
          <w:szCs w:val="24"/>
        </w:rPr>
        <w:t xml:space="preserve"> </w:t>
      </w:r>
      <w:proofErr w:type="spellStart"/>
      <w:r w:rsidRPr="00BB1C3C">
        <w:rPr>
          <w:rFonts w:ascii="Arial" w:hAnsi="Arial" w:cs="Arial"/>
          <w:i/>
          <w:sz w:val="24"/>
          <w:szCs w:val="24"/>
        </w:rPr>
        <w:t>Elysés</w:t>
      </w:r>
      <w:proofErr w:type="spellEnd"/>
      <w:r w:rsidRPr="00BB1C3C">
        <w:rPr>
          <w:rFonts w:ascii="Arial" w:hAnsi="Arial" w:cs="Arial"/>
          <w:sz w:val="24"/>
          <w:szCs w:val="24"/>
        </w:rPr>
        <w:t xml:space="preserve"> o </w:t>
      </w:r>
      <w:r w:rsidRPr="00BB1C3C">
        <w:rPr>
          <w:rFonts w:ascii="Arial" w:hAnsi="Arial" w:cs="Arial"/>
          <w:i/>
          <w:sz w:val="24"/>
          <w:szCs w:val="24"/>
        </w:rPr>
        <w:t>Le Café de París</w:t>
      </w:r>
      <w:r w:rsidRPr="00BB1C3C">
        <w:rPr>
          <w:rFonts w:ascii="Arial" w:hAnsi="Arial" w:cs="Arial"/>
          <w:sz w:val="24"/>
          <w:szCs w:val="24"/>
        </w:rPr>
        <w:t>, algún italiano o al húngaro, más exótico aún, El Gnomo, sin olvidar la aparición de la gran ola de las carnes argentinas.</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lastRenderedPageBreak/>
        <w:t xml:space="preserve"> No obstante, algunos establecimientos pretenden hoy marcar una nueva diferencia e invitan a degustar con ellos una auténtica “comida mexicana”. Esa “nueva mexicanidad” en la cocina merece ser estudiada, aunque esa pretensión de ofrecer una comida “auténticamente” mexicana pueda también parecer una simple defensa corporativa, legítima, de sus propietarios.</w:t>
      </w:r>
      <w:r w:rsidRPr="00BB1C3C">
        <w:rPr>
          <w:rStyle w:val="Refdenotaalpie"/>
          <w:rFonts w:ascii="Arial" w:hAnsi="Arial" w:cs="Arial"/>
          <w:sz w:val="24"/>
          <w:szCs w:val="24"/>
        </w:rPr>
        <w:footnoteReference w:id="12"/>
      </w:r>
      <w:r w:rsidRPr="00BB1C3C">
        <w:rPr>
          <w:rFonts w:ascii="Arial" w:hAnsi="Arial" w:cs="Arial"/>
          <w:sz w:val="24"/>
          <w:szCs w:val="24"/>
        </w:rPr>
        <w:t xml:space="preserve"> Debe analizarse de cerca el contenido de esa nueva comida mexicana y observar cómo la tortilla se vuelve realmente más que simbólica y el maíz casi desaparece; el frijol se </w:t>
      </w:r>
      <w:proofErr w:type="spellStart"/>
      <w:r w:rsidRPr="00BB1C3C">
        <w:rPr>
          <w:rFonts w:ascii="Arial" w:hAnsi="Arial" w:cs="Arial"/>
          <w:sz w:val="24"/>
          <w:szCs w:val="24"/>
        </w:rPr>
        <w:t>folcloriza</w:t>
      </w:r>
      <w:proofErr w:type="spellEnd"/>
      <w:r w:rsidRPr="00BB1C3C">
        <w:rPr>
          <w:rFonts w:ascii="Arial" w:hAnsi="Arial" w:cs="Arial"/>
          <w:sz w:val="24"/>
          <w:szCs w:val="24"/>
        </w:rPr>
        <w:t xml:space="preserve"> y aparecen nuevas carnes infrecuentes como el pato, el conejo, codorniz, que ya eran conocidas pero no se adecuaban en verdad al sistema tradicional de la comida mexicana. Mención aparte meren las carnes más exóticas que están disponibles hoy en día en el mercado, como avestruz, bisonte, ciervo o caimán, que se incluyen algunas veces en esos nuevos restaurantes de la “mexicanidad”. Es evidente que dichos locales tienen la mirada puesta en los establecimientos extranjeros y pertenecen a lo que se considera en las revistas “élite internacional”: sus </w:t>
      </w:r>
      <w:r w:rsidRPr="00BB1C3C">
        <w:rPr>
          <w:rFonts w:ascii="Arial" w:hAnsi="Arial" w:cs="Arial"/>
          <w:i/>
          <w:sz w:val="24"/>
          <w:szCs w:val="24"/>
        </w:rPr>
        <w:t>chefs</w:t>
      </w:r>
      <w:r w:rsidRPr="00BB1C3C">
        <w:rPr>
          <w:rFonts w:ascii="Arial" w:hAnsi="Arial" w:cs="Arial"/>
          <w:sz w:val="24"/>
          <w:szCs w:val="24"/>
        </w:rPr>
        <w:t xml:space="preserve"> están apoderándose de las televisiones. Su público es el de esa </w:t>
      </w:r>
      <w:proofErr w:type="spellStart"/>
      <w:r w:rsidRPr="00BB1C3C">
        <w:rPr>
          <w:rFonts w:ascii="Arial" w:hAnsi="Arial" w:cs="Arial"/>
          <w:sz w:val="24"/>
          <w:szCs w:val="24"/>
        </w:rPr>
        <w:t>neoburguesía</w:t>
      </w:r>
      <w:proofErr w:type="spellEnd"/>
      <w:r w:rsidRPr="00BB1C3C">
        <w:rPr>
          <w:rFonts w:ascii="Arial" w:hAnsi="Arial" w:cs="Arial"/>
          <w:sz w:val="24"/>
          <w:szCs w:val="24"/>
        </w:rPr>
        <w:t xml:space="preserve"> mexicana, cosmopolita en sus maneras de vida y sus esperanzas políticas y sociales, un público convencido de que el mundo es hermoso y que el porvenir es de ellos. La defensa del patrimonio que presentan es la de una cierta presencia en el mundo de la élite mundial, dado que no tienen tal vez una identidad conflictiva y problemática como la definían los pensadores de la segunda mitad del XX. Se trata de recrear una diferencia, pero sólo para afirmar una igualdad, es decir, muy parecidos a la gente bonita de allá, de preferencia de ojos azules y pelo rubio. En consecuencia, esa </w:t>
      </w:r>
      <w:proofErr w:type="spellStart"/>
      <w:r w:rsidRPr="00BB1C3C">
        <w:rPr>
          <w:rFonts w:ascii="Arial" w:hAnsi="Arial" w:cs="Arial"/>
          <w:sz w:val="24"/>
          <w:szCs w:val="24"/>
        </w:rPr>
        <w:t>neococina</w:t>
      </w:r>
      <w:proofErr w:type="spellEnd"/>
      <w:r w:rsidRPr="00BB1C3C">
        <w:rPr>
          <w:rFonts w:ascii="Arial" w:hAnsi="Arial" w:cs="Arial"/>
          <w:sz w:val="24"/>
          <w:szCs w:val="24"/>
        </w:rPr>
        <w:t xml:space="preserve"> mexicana puede </w:t>
      </w:r>
      <w:r w:rsidRPr="00BB1C3C">
        <w:rPr>
          <w:rFonts w:ascii="Arial" w:hAnsi="Arial" w:cs="Arial"/>
          <w:sz w:val="24"/>
          <w:szCs w:val="24"/>
        </w:rPr>
        <w:lastRenderedPageBreak/>
        <w:t>presuponer de forma ilusoria que se halla a la altura de las mejores, unas “mejores” que también padecen esa misma ilusión.</w:t>
      </w:r>
      <w:r w:rsidRPr="00BB1C3C">
        <w:rPr>
          <w:rStyle w:val="Refdenotaalpie"/>
          <w:rFonts w:ascii="Arial" w:hAnsi="Arial" w:cs="Arial"/>
          <w:sz w:val="24"/>
          <w:szCs w:val="24"/>
        </w:rPr>
        <w:footnoteReference w:id="13"/>
      </w:r>
      <w:r w:rsidRPr="00BB1C3C">
        <w:rPr>
          <w:rFonts w:ascii="Arial" w:hAnsi="Arial" w:cs="Arial"/>
          <w:sz w:val="24"/>
          <w:szCs w:val="24"/>
        </w:rPr>
        <w:t xml:space="preserve"> </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Por otra parte, el deseo de establecer las diferencias sociales por consumos alimentarios suntuosos, o por lo menos diferentes, es una constante en las sociedades occidentales desde hace siglos. Por ejemplo, en Xalapa, a finales del XVIII la gente adinerada creó una panadería de privilegio: no se trataba de que el señor </w:t>
      </w:r>
      <w:proofErr w:type="spellStart"/>
      <w:r w:rsidRPr="00BB1C3C">
        <w:rPr>
          <w:rFonts w:ascii="Arial" w:hAnsi="Arial" w:cs="Arial"/>
          <w:sz w:val="24"/>
          <w:szCs w:val="24"/>
        </w:rPr>
        <w:t>Gumila</w:t>
      </w:r>
      <w:proofErr w:type="spellEnd"/>
      <w:r w:rsidRPr="00BB1C3C">
        <w:rPr>
          <w:rFonts w:ascii="Arial" w:hAnsi="Arial" w:cs="Arial"/>
          <w:sz w:val="24"/>
          <w:szCs w:val="24"/>
        </w:rPr>
        <w:t xml:space="preserve">, un panadero reconocido, elaborara un pan aún más delicioso que el ya producido por él, sino de que podía venderse ese pan “de privilegio” a un precio superior. Fue una hábil manera de reintroducir una diferenciación social en el consumo de pan, un pan de calidad, que se había generalizado en toda la villa. </w:t>
      </w:r>
    </w:p>
    <w:p w:rsidR="00267F8E"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Por otra parte, es evidente que hay en la actualidad una cierta complicidad entre esta </w:t>
      </w:r>
      <w:proofErr w:type="spellStart"/>
      <w:r w:rsidRPr="00BB1C3C">
        <w:rPr>
          <w:rFonts w:ascii="Arial" w:hAnsi="Arial" w:cs="Arial"/>
          <w:sz w:val="24"/>
          <w:szCs w:val="24"/>
        </w:rPr>
        <w:t>neomexicanidad</w:t>
      </w:r>
      <w:proofErr w:type="spellEnd"/>
      <w:r w:rsidRPr="00BB1C3C">
        <w:rPr>
          <w:rFonts w:ascii="Arial" w:hAnsi="Arial" w:cs="Arial"/>
          <w:sz w:val="24"/>
          <w:szCs w:val="24"/>
        </w:rPr>
        <w:t xml:space="preserve"> de la cocina con los aparatos culturales oficiales, como lo ilustraron las comidas servidas en París en el primer intento de obtener el galardón de patrimonio de la humanidad para la cocina mexicana. Asimismo, la mediocridad del conjunto culinario presentado en París marca claramente los límites de esa </w:t>
      </w:r>
      <w:proofErr w:type="spellStart"/>
      <w:r w:rsidRPr="00BB1C3C">
        <w:rPr>
          <w:rFonts w:ascii="Arial" w:hAnsi="Arial" w:cs="Arial"/>
          <w:sz w:val="24"/>
          <w:szCs w:val="24"/>
        </w:rPr>
        <w:t>neomexicanidad</w:t>
      </w:r>
      <w:proofErr w:type="spellEnd"/>
      <w:r w:rsidRPr="00BB1C3C">
        <w:rPr>
          <w:rFonts w:ascii="Arial" w:hAnsi="Arial" w:cs="Arial"/>
          <w:sz w:val="24"/>
          <w:szCs w:val="24"/>
        </w:rPr>
        <w:t xml:space="preserve"> culinaria. Esto no quiere decir que no deba estudiarse porque tendrá fuertes influencias en cantidades de escuelas de gastronomía creadas en todo el país, y que marcarán sin duda las próximas direcciones de lo que se llamará en la próxima década, se quiera o no, “La autentiquísima comida mexicana”. </w:t>
      </w:r>
    </w:p>
    <w:p w:rsidR="00267F8E" w:rsidRPr="00BB1C3C" w:rsidRDefault="00267F8E" w:rsidP="00267F8E">
      <w:pPr>
        <w:pStyle w:val="Textoindependiente"/>
        <w:spacing w:after="0" w:line="360" w:lineRule="auto"/>
        <w:contextualSpacing/>
        <w:jc w:val="both"/>
        <w:rPr>
          <w:rFonts w:ascii="Arial" w:hAnsi="Arial" w:cs="Arial"/>
          <w:sz w:val="24"/>
          <w:szCs w:val="24"/>
        </w:rPr>
      </w:pPr>
    </w:p>
    <w:p w:rsidR="00267F8E" w:rsidRPr="00C94F64" w:rsidRDefault="00267F8E" w:rsidP="00267F8E">
      <w:pPr>
        <w:pStyle w:val="Textoindependiente"/>
        <w:spacing w:after="0" w:line="360" w:lineRule="auto"/>
        <w:contextualSpacing/>
        <w:jc w:val="both"/>
        <w:rPr>
          <w:rFonts w:ascii="Arial" w:hAnsi="Arial" w:cs="Arial"/>
          <w:b/>
          <w:bCs/>
          <w:iCs/>
          <w:sz w:val="24"/>
          <w:szCs w:val="24"/>
        </w:rPr>
      </w:pPr>
      <w:r w:rsidRPr="00C94F64">
        <w:rPr>
          <w:rFonts w:ascii="Arial" w:hAnsi="Arial" w:cs="Arial"/>
          <w:b/>
          <w:bCs/>
          <w:iCs/>
          <w:sz w:val="24"/>
          <w:szCs w:val="24"/>
        </w:rPr>
        <w:t xml:space="preserve">La comida tradicional mexicana </w:t>
      </w:r>
    </w:p>
    <w:p w:rsidR="00267F8E"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Resulta muy difícil en ocasiones diferenciar la “comida tradicional mexicana” de la “comida mexicana”; el sustantivo tradicional añadido parece más bien un síntoma de desequilibrio emocional, proveniente de esa antigua dolencia que aqueja a la identidad nacional, sentimiento doloroso, como ya se dijo, de una pérdida de algo </w:t>
      </w:r>
      <w:r w:rsidRPr="00BB1C3C">
        <w:rPr>
          <w:rFonts w:ascii="Arial" w:hAnsi="Arial" w:cs="Arial"/>
          <w:sz w:val="24"/>
          <w:szCs w:val="24"/>
        </w:rPr>
        <w:lastRenderedPageBreak/>
        <w:t xml:space="preserve">en peligro de desaparecer. La “comida tradicional mexicana” y “comida mexicana” encubren algunas veces las mismas prácticas de cocina y consumo o, si se quiere, se podría intentar reconstruir una alimentación popular urbana y campesina, sobre la cual no se sabe nada o muy poco entre 1850 y 1930, y denominar a esto “comida tradicional mexicana”. </w:t>
      </w:r>
    </w:p>
    <w:p w:rsidR="00267F8E" w:rsidRPr="00BB1C3C" w:rsidRDefault="00267F8E" w:rsidP="00267F8E">
      <w:pPr>
        <w:pStyle w:val="Textoindependiente"/>
        <w:spacing w:after="0" w:line="360" w:lineRule="auto"/>
        <w:contextualSpacing/>
        <w:jc w:val="both"/>
        <w:rPr>
          <w:rFonts w:ascii="Arial" w:hAnsi="Arial" w:cs="Arial"/>
          <w:sz w:val="24"/>
          <w:szCs w:val="24"/>
        </w:rPr>
      </w:pPr>
    </w:p>
    <w:p w:rsidR="00267F8E" w:rsidRPr="00C94F64" w:rsidRDefault="00267F8E" w:rsidP="00267F8E">
      <w:pPr>
        <w:pStyle w:val="Textoindependiente"/>
        <w:spacing w:after="0" w:line="360" w:lineRule="auto"/>
        <w:contextualSpacing/>
        <w:jc w:val="both"/>
        <w:rPr>
          <w:rFonts w:ascii="Arial" w:hAnsi="Arial" w:cs="Arial"/>
          <w:b/>
          <w:bCs/>
          <w:iCs/>
          <w:sz w:val="24"/>
          <w:szCs w:val="24"/>
        </w:rPr>
      </w:pPr>
      <w:r w:rsidRPr="00C94F64">
        <w:rPr>
          <w:rFonts w:ascii="Arial" w:hAnsi="Arial" w:cs="Arial"/>
          <w:b/>
          <w:bCs/>
          <w:iCs/>
          <w:sz w:val="24"/>
          <w:szCs w:val="24"/>
        </w:rPr>
        <w:t xml:space="preserve">Comida regional y comida tradicional campesina o indígena </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Aquí se observa la misma disyuntiva que en el caso de la comida mexicana. La comida regional es también una comida relativamente reciente, urbana, que creció a la sombra de la comida mexicana elaborada en el DF. El concepto de “comida poblana”, por ejemplo, es probablemente inseparable de la constitución de una “comida mexicana”. Esto no impide que haya tenido una tradición culinaria heredada de antiguas prácticas coloniales y de la explotación original de sus recursos regionales. Aquí es necesario el mismo trabajo de distinción entre “comida poblana” y “comida tradicional poblana” o “comida de los poblanos”, pero serán los propios poblanos quienes desarrollen esa reflexión…si lo desean.</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Esto introduce de nueva cuenta al problema del estudio contemporáneo de las nuevas comidas regionales, algo que no carece tampoco de cierta ambigüedad. En sus últimos viajes el autor intentó encontrar en la ciudad de Oaxaca, de manera ingenua quizá, algo de lo que podría llamarse “comida oaxaqueña”: fue una gran desilusión. Muchos enamorados de Oaxaca señalan que la decepción provenía de que no se encontró “El buen lugar”; empero, el hecho que haya escasos lugares de “verdadera comida oaxaqueña” señala lo ambiguo, lo poco estructurado y la escasa presencia aún de esa “verdadera tradición culinaria”.</w:t>
      </w:r>
      <w:r w:rsidRPr="00BB1C3C">
        <w:rPr>
          <w:rStyle w:val="Refdenotaalpie"/>
          <w:rFonts w:ascii="Arial" w:hAnsi="Arial" w:cs="Arial"/>
          <w:sz w:val="24"/>
          <w:szCs w:val="24"/>
        </w:rPr>
        <w:footnoteReference w:id="14"/>
      </w:r>
      <w:r w:rsidRPr="00BB1C3C">
        <w:rPr>
          <w:rFonts w:ascii="Arial" w:hAnsi="Arial" w:cs="Arial"/>
          <w:sz w:val="24"/>
          <w:szCs w:val="24"/>
        </w:rPr>
        <w:t xml:space="preserve"> Sólo fue posible encontrar lugares de “nueva cocina oaxaqueña”, ¡una vergüenza!, y sólo resultó  interesante la vista a un restaurante </w:t>
      </w:r>
      <w:proofErr w:type="spellStart"/>
      <w:r w:rsidRPr="00BB1C3C">
        <w:rPr>
          <w:rFonts w:ascii="Arial" w:hAnsi="Arial" w:cs="Arial"/>
          <w:sz w:val="24"/>
          <w:szCs w:val="24"/>
        </w:rPr>
        <w:t>neointernacional</w:t>
      </w:r>
      <w:proofErr w:type="spellEnd"/>
      <w:r w:rsidRPr="00BB1C3C">
        <w:rPr>
          <w:rFonts w:ascii="Arial" w:hAnsi="Arial" w:cs="Arial"/>
          <w:sz w:val="24"/>
          <w:szCs w:val="24"/>
        </w:rPr>
        <w:t xml:space="preserve"> en el cual el joven chef y el dueño intentaban introducir y adaptar, con mucha dedicación, la cocina desarrollada por </w:t>
      </w:r>
      <w:proofErr w:type="spellStart"/>
      <w:r w:rsidRPr="00BB1C3C">
        <w:rPr>
          <w:rFonts w:ascii="Arial" w:hAnsi="Arial" w:cs="Arial"/>
          <w:sz w:val="24"/>
          <w:szCs w:val="24"/>
        </w:rPr>
        <w:t>Fera</w:t>
      </w:r>
      <w:proofErr w:type="spellEnd"/>
      <w:r w:rsidRPr="00BB1C3C">
        <w:rPr>
          <w:rFonts w:ascii="Arial" w:hAnsi="Arial" w:cs="Arial"/>
          <w:sz w:val="24"/>
          <w:szCs w:val="24"/>
        </w:rPr>
        <w:t xml:space="preserve"> Adrián en Cataluña y que se ha vuelto el paradigma </w:t>
      </w:r>
      <w:r w:rsidRPr="00BB1C3C">
        <w:rPr>
          <w:rFonts w:ascii="Arial" w:hAnsi="Arial" w:cs="Arial"/>
          <w:sz w:val="24"/>
          <w:szCs w:val="24"/>
        </w:rPr>
        <w:lastRenderedPageBreak/>
        <w:t>de una cierta sofisticación culinaria internacional.</w:t>
      </w:r>
      <w:r w:rsidRPr="00BB1C3C">
        <w:rPr>
          <w:rStyle w:val="Refdenotaalpie"/>
          <w:rFonts w:ascii="Arial" w:hAnsi="Arial" w:cs="Arial"/>
          <w:sz w:val="24"/>
          <w:szCs w:val="24"/>
        </w:rPr>
        <w:footnoteReference w:id="15"/>
      </w:r>
      <w:r w:rsidRPr="00BB1C3C">
        <w:rPr>
          <w:rFonts w:ascii="Arial" w:hAnsi="Arial" w:cs="Arial"/>
          <w:sz w:val="24"/>
          <w:szCs w:val="24"/>
        </w:rPr>
        <w:t xml:space="preserve"> Desde la presentación de ese ensayo, el autor ha visitado otra vez la ciudad, y si bien el ensayo muy modernista parece haber fracasado, se ha localizado un restaurante interesante que recoge algo del antiguo espíritu de ése, pero con una interesante búsqueda de presentar una comida original y podría marcar nuevos rumbos para esa “nueva cocina oaxaqueña”.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Pero también en Oaxaca, ¿cómo saber a qué ámbito cultural pertenecen las </w:t>
      </w:r>
      <w:proofErr w:type="spellStart"/>
      <w:r w:rsidRPr="00BB1C3C">
        <w:rPr>
          <w:rFonts w:ascii="Arial" w:hAnsi="Arial" w:cs="Arial"/>
          <w:sz w:val="24"/>
          <w:szCs w:val="24"/>
        </w:rPr>
        <w:t>tlayudas</w:t>
      </w:r>
      <w:proofErr w:type="spellEnd"/>
      <w:r w:rsidRPr="00BB1C3C">
        <w:rPr>
          <w:rFonts w:ascii="Arial" w:hAnsi="Arial" w:cs="Arial"/>
          <w:sz w:val="24"/>
          <w:szCs w:val="24"/>
        </w:rPr>
        <w:t xml:space="preserve">, los tacos de chapulín, tasajos y otros manjares populares aún? Probablemente sea de interés hablar no de comida oaxaqueña, sino de “comida tradicional oaxaqueña”. La “comida oaxaqueña” se reduciría a un conjunto un poco artificial, creado y mantenido por los órganos culturales oficiales, destinado a los turistas internacionales amantes  de ese terruño y a los turistas nacionales que comparten la misma inclinación, y no son muy rigurosos en la manera de escoger lo que probarán sus paladares. No hay que olvidar que estos establecimientos, aunque sirven una comida poco atractiva, procuran establecer lugares fundamentales de esa sociedad del espectáculo de las élites regionales donde se muestran en representación los políticos locales y ciertos personajes de la cultura local. Incluso algunas veces puede preguntarse si en ciertos tipos de restaurantes </w:t>
      </w:r>
      <w:proofErr w:type="spellStart"/>
      <w:r w:rsidRPr="00BB1C3C">
        <w:rPr>
          <w:rFonts w:ascii="Arial" w:hAnsi="Arial" w:cs="Arial"/>
          <w:i/>
          <w:sz w:val="24"/>
          <w:szCs w:val="24"/>
        </w:rPr>
        <w:t>fashion</w:t>
      </w:r>
      <w:proofErr w:type="spellEnd"/>
      <w:r w:rsidRPr="00BB1C3C">
        <w:rPr>
          <w:rFonts w:ascii="Arial" w:hAnsi="Arial" w:cs="Arial"/>
          <w:sz w:val="24"/>
          <w:szCs w:val="24"/>
        </w:rPr>
        <w:t xml:space="preserve"> no es más importante la función de asistir que realmente la de comer. Así se explica mejor la confesión de un buen cliente de mi primer restaurante, un analista famoso de la vida política y económica del país, que un día me confesó que aunque le encantaba mi comida y se deleitaba, ya no iba a venir, o lo haría con menor frecuencia, “porque nadie aquí lo veía”, es decir, nadie lo reconocía porque no estaba ahí entre sus pares.</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El problema de diferenciar las prácticas de la comida mexicana y la comida de los mexicanos, habitantes del DF y áreas próximas, se reproduce casi de modo idéntico en los estados; es preciso investigar las diferencias y similitudes entre “comida oaxaqueña” y comida de los oaxaqueños viviendo en la esfera simbólica y material de Oaxaca, capital del estado. El caso de Oaxaca se complica porque esa </w:t>
      </w:r>
      <w:r w:rsidRPr="00BB1C3C">
        <w:rPr>
          <w:rFonts w:ascii="Arial" w:hAnsi="Arial" w:cs="Arial"/>
          <w:sz w:val="24"/>
          <w:szCs w:val="24"/>
        </w:rPr>
        <w:lastRenderedPageBreak/>
        <w:t xml:space="preserve">entidad tiene una población que se considera “indígena”, en particular importante y culturalmente muy diversificada, y aparece de inmediato el problema del patrimonio alimentario propio de cada grupo indígena. Un trabajo difícil y minucioso si se considera lo imbricado de los diferentes pueblos indígenas en ese estado y la ausencia de estudios sistemáticos sobre la evolución histórica de cada pueblo, como de las relaciones interétnicas imperantes en los últimos siglos. </w:t>
      </w:r>
    </w:p>
    <w:p w:rsidR="00267F8E"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Tampoco puede olvidarse que esa “cocina oaxaqueña” puede tener matices notables cuando se ofrece en centros recreativos de la costa, como Puerto Escondido, Huatulco y otros centros turísticos.</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p>
    <w:p w:rsidR="00267F8E" w:rsidRPr="00C94F64" w:rsidRDefault="00267F8E" w:rsidP="00267F8E">
      <w:pPr>
        <w:pStyle w:val="Textoindependiente"/>
        <w:spacing w:after="0" w:line="360" w:lineRule="auto"/>
        <w:contextualSpacing/>
        <w:jc w:val="both"/>
        <w:rPr>
          <w:rFonts w:ascii="Arial" w:hAnsi="Arial" w:cs="Arial"/>
          <w:b/>
          <w:bCs/>
          <w:iCs/>
          <w:sz w:val="24"/>
          <w:szCs w:val="24"/>
        </w:rPr>
      </w:pPr>
      <w:r w:rsidRPr="00C94F64">
        <w:rPr>
          <w:rFonts w:ascii="Arial" w:hAnsi="Arial" w:cs="Arial"/>
          <w:b/>
          <w:bCs/>
          <w:iCs/>
          <w:sz w:val="24"/>
          <w:szCs w:val="24"/>
        </w:rPr>
        <w:t>La comida nacionalista y su influencia en las prácticas culinarias en el resto del país</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Éste es un aspecto que no debe olvidarse en los estudios, es decir, la presión constante e insidiosa durante décadas de un modelo cultural dominante de cocina, la comida mexicana. Un ejemplo paradigmático de esa presión puede ser la multiplicación de la presencia actual del mole “poblano”, aunque pueda parecer sin origen de procedencia en centenares de restaurantes en todo el país, y el extranjero, y paralelamente la creación de pequeñas industrias locales encargadas de producir el ingrediente fundamental, la pasta del mole en diferentes regiones.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Es un buen ejemplo de cómo recetas clásicas de algunas regiones (todos conocemos el mole poblano o el mole oaxaqueño y algunos otros menos conocidos, como en Veracruz el mole de </w:t>
      </w:r>
      <w:proofErr w:type="spellStart"/>
      <w:r w:rsidRPr="00BB1C3C">
        <w:rPr>
          <w:rFonts w:ascii="Arial" w:hAnsi="Arial" w:cs="Arial"/>
          <w:sz w:val="24"/>
          <w:szCs w:val="24"/>
        </w:rPr>
        <w:t>Xico</w:t>
      </w:r>
      <w:proofErr w:type="spellEnd"/>
      <w:r w:rsidRPr="00BB1C3C">
        <w:rPr>
          <w:rFonts w:ascii="Arial" w:hAnsi="Arial" w:cs="Arial"/>
          <w:sz w:val="24"/>
          <w:szCs w:val="24"/>
        </w:rPr>
        <w:t>) son adoptadas por un sistema culinario general y cómo pudieron volverse parte medular del sistema simbólico de la “comida mexicana”, y por ese medio generalizarse a todo el país, a través de una reducción geográfica y su simplificación a sólo “el mole”.</w:t>
      </w:r>
    </w:p>
    <w:p w:rsidR="00267F8E"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La historia de la alimentación en México también puede tomar direcciones interesantes y en ocasiones sorpresivas, por ejemplo cuando se inquiere sobre el origen de la apelación famosa de </w:t>
      </w:r>
      <w:r w:rsidRPr="00BB1C3C">
        <w:rPr>
          <w:rFonts w:ascii="Arial" w:hAnsi="Arial" w:cs="Arial"/>
          <w:i/>
          <w:iCs/>
          <w:sz w:val="24"/>
          <w:szCs w:val="24"/>
        </w:rPr>
        <w:t xml:space="preserve">chile </w:t>
      </w:r>
      <w:proofErr w:type="spellStart"/>
      <w:r w:rsidRPr="00BB1C3C">
        <w:rPr>
          <w:rFonts w:ascii="Arial" w:hAnsi="Arial" w:cs="Arial"/>
          <w:i/>
          <w:iCs/>
          <w:sz w:val="24"/>
          <w:szCs w:val="24"/>
        </w:rPr>
        <w:t>xalapeño</w:t>
      </w:r>
      <w:proofErr w:type="spellEnd"/>
      <w:r w:rsidRPr="00BB1C3C">
        <w:rPr>
          <w:rFonts w:ascii="Arial" w:hAnsi="Arial" w:cs="Arial"/>
          <w:sz w:val="24"/>
          <w:szCs w:val="24"/>
        </w:rPr>
        <w:t xml:space="preserve">. Viviendo en Xalapa, muchas veces tuve que responder a esa pregunta: ¿hay tantos chiles en Xalapa que haya dado su nombre a una variedad de chile? Durante años no supe qué responder a esa pregunta, y tanto más si en Xalapa o sus alrededores inmediatos jamás había </w:t>
      </w:r>
      <w:r w:rsidRPr="00BB1C3C">
        <w:rPr>
          <w:rFonts w:ascii="Arial" w:hAnsi="Arial" w:cs="Arial"/>
          <w:sz w:val="24"/>
          <w:szCs w:val="24"/>
        </w:rPr>
        <w:lastRenderedPageBreak/>
        <w:t xml:space="preserve">visto sembradíos de ese chile, un producto tan famoso que incluso en Brasil existe un color verde: chile </w:t>
      </w:r>
      <w:proofErr w:type="spellStart"/>
      <w:r w:rsidRPr="00BB1C3C">
        <w:rPr>
          <w:rFonts w:ascii="Arial" w:hAnsi="Arial" w:cs="Arial"/>
          <w:sz w:val="24"/>
          <w:szCs w:val="24"/>
        </w:rPr>
        <w:t>xalapeño</w:t>
      </w:r>
      <w:proofErr w:type="spellEnd"/>
      <w:r w:rsidRPr="00BB1C3C">
        <w:rPr>
          <w:rFonts w:ascii="Arial" w:hAnsi="Arial" w:cs="Arial"/>
          <w:sz w:val="24"/>
          <w:szCs w:val="24"/>
        </w:rPr>
        <w:t xml:space="preserve">. La Dra. Rosa María </w:t>
      </w:r>
      <w:proofErr w:type="spellStart"/>
      <w:r w:rsidRPr="00BB1C3C">
        <w:rPr>
          <w:rFonts w:ascii="Arial" w:hAnsi="Arial" w:cs="Arial"/>
          <w:sz w:val="24"/>
          <w:szCs w:val="24"/>
        </w:rPr>
        <w:t>Spinoso</w:t>
      </w:r>
      <w:proofErr w:type="spellEnd"/>
      <w:r w:rsidRPr="00BB1C3C">
        <w:rPr>
          <w:rFonts w:ascii="Arial" w:hAnsi="Arial" w:cs="Arial"/>
          <w:sz w:val="24"/>
          <w:szCs w:val="24"/>
        </w:rPr>
        <w:t xml:space="preserve"> </w:t>
      </w:r>
      <w:proofErr w:type="spellStart"/>
      <w:r w:rsidRPr="00BB1C3C">
        <w:rPr>
          <w:rFonts w:ascii="Arial" w:hAnsi="Arial" w:cs="Arial"/>
          <w:sz w:val="24"/>
          <w:szCs w:val="24"/>
        </w:rPr>
        <w:t>Arcocha</w:t>
      </w:r>
      <w:proofErr w:type="spellEnd"/>
      <w:r w:rsidRPr="00BB1C3C">
        <w:rPr>
          <w:rFonts w:ascii="Arial" w:hAnsi="Arial" w:cs="Arial"/>
          <w:sz w:val="24"/>
          <w:szCs w:val="24"/>
        </w:rPr>
        <w:t xml:space="preserve"> y una amiga suya, que están preparando un estudio sobre ese chile y su fama mundial, me dieron la respuesta. Según ellas, existía en las primeras décadas del siglo XX una </w:t>
      </w:r>
      <w:proofErr w:type="spellStart"/>
      <w:r w:rsidRPr="00BB1C3C">
        <w:rPr>
          <w:rFonts w:ascii="Arial" w:hAnsi="Arial" w:cs="Arial"/>
          <w:sz w:val="24"/>
          <w:szCs w:val="24"/>
        </w:rPr>
        <w:t>enlatadora</w:t>
      </w:r>
      <w:proofErr w:type="spellEnd"/>
      <w:r w:rsidRPr="00BB1C3C">
        <w:rPr>
          <w:rFonts w:ascii="Arial" w:hAnsi="Arial" w:cs="Arial"/>
          <w:sz w:val="24"/>
          <w:szCs w:val="24"/>
        </w:rPr>
        <w:t xml:space="preserve"> en Xalapa que, entre otras cosas, enlataba chiles encurtidos; su nombre era La </w:t>
      </w:r>
      <w:proofErr w:type="spellStart"/>
      <w:r w:rsidRPr="00BB1C3C">
        <w:rPr>
          <w:rFonts w:ascii="Arial" w:hAnsi="Arial" w:cs="Arial"/>
          <w:sz w:val="24"/>
          <w:szCs w:val="24"/>
        </w:rPr>
        <w:t>Xalapeña</w:t>
      </w:r>
      <w:proofErr w:type="spellEnd"/>
      <w:r w:rsidRPr="00BB1C3C">
        <w:rPr>
          <w:rFonts w:ascii="Arial" w:hAnsi="Arial" w:cs="Arial"/>
          <w:sz w:val="24"/>
          <w:szCs w:val="24"/>
        </w:rPr>
        <w:t xml:space="preserve">. Así, dado que era muy exitosa y sólo muy pocas fábricas enlataban este producto, fue muy fácil al paso de “chiles de la </w:t>
      </w:r>
      <w:proofErr w:type="spellStart"/>
      <w:r w:rsidRPr="00BB1C3C">
        <w:rPr>
          <w:rFonts w:ascii="Arial" w:hAnsi="Arial" w:cs="Arial"/>
          <w:sz w:val="24"/>
          <w:szCs w:val="24"/>
        </w:rPr>
        <w:t>Xalapeña</w:t>
      </w:r>
      <w:proofErr w:type="spellEnd"/>
      <w:r w:rsidRPr="00BB1C3C">
        <w:rPr>
          <w:rFonts w:ascii="Arial" w:hAnsi="Arial" w:cs="Arial"/>
          <w:sz w:val="24"/>
          <w:szCs w:val="24"/>
        </w:rPr>
        <w:t xml:space="preserve">” a “chiles </w:t>
      </w:r>
      <w:proofErr w:type="spellStart"/>
      <w:r w:rsidRPr="00BB1C3C">
        <w:rPr>
          <w:rFonts w:ascii="Arial" w:hAnsi="Arial" w:cs="Arial"/>
          <w:sz w:val="24"/>
          <w:szCs w:val="24"/>
        </w:rPr>
        <w:t>xalapeños</w:t>
      </w:r>
      <w:proofErr w:type="spellEnd"/>
      <w:r w:rsidRPr="00BB1C3C">
        <w:rPr>
          <w:rFonts w:ascii="Arial" w:hAnsi="Arial" w:cs="Arial"/>
          <w:sz w:val="24"/>
          <w:szCs w:val="24"/>
        </w:rPr>
        <w:t xml:space="preserve">”, por el bien conocido fenómeno de economía lingüística.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p>
    <w:p w:rsidR="00267F8E" w:rsidRPr="00BB1C3C" w:rsidRDefault="00267F8E" w:rsidP="00267F8E">
      <w:pPr>
        <w:pStyle w:val="Textoindependiente"/>
        <w:spacing w:after="0" w:line="360" w:lineRule="auto"/>
        <w:contextualSpacing/>
        <w:jc w:val="both"/>
        <w:rPr>
          <w:rFonts w:ascii="Arial" w:hAnsi="Arial" w:cs="Arial"/>
          <w:b/>
          <w:bCs/>
          <w:i/>
          <w:iCs/>
          <w:sz w:val="24"/>
          <w:szCs w:val="24"/>
        </w:rPr>
      </w:pPr>
      <w:r w:rsidRPr="00BB1C3C">
        <w:rPr>
          <w:rFonts w:ascii="Arial" w:hAnsi="Arial" w:cs="Arial"/>
          <w:b/>
          <w:bCs/>
          <w:i/>
          <w:iCs/>
          <w:sz w:val="24"/>
          <w:szCs w:val="24"/>
        </w:rPr>
        <w:t xml:space="preserve">Comidas tradicionales indígenas </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Para terminar es posible hacer algunas reflexiones acerca de las comidas tradicionales indígenas que son el objeto en la actualidad de ciertos debates, no todos de orden historiográfica, sino más bien político casi siempre. Es muy claro que antes de la modernidad y la aparición de la forma nación, los habitantes de las campiñas en muchas regiones de México practicaban una cocina en la que intervenían muchos elementos de recolección, que se combinaban en proporciones para la elaboración de su sustento cotidiano. Son probablemente estos elementos, de la recolección, la caza y la pesca, los que podrían suministrar sus cartas de identidad y nobleza a todas estas comidas indígenas, ya que en el conjunto del agro mexicano actual, desde las Californias hasta Yucatán y Chiapas, si bien existía el famoso triángulo mítico maíz-frijoles-calabazas, al que se añadía el chile (tan importante por su aportación vitamínica a esa dieta de base),</w:t>
      </w:r>
      <w:r w:rsidRPr="00BB1C3C">
        <w:rPr>
          <w:rStyle w:val="Refdenotaalpie"/>
          <w:rFonts w:ascii="Arial" w:hAnsi="Arial" w:cs="Arial"/>
          <w:sz w:val="24"/>
          <w:szCs w:val="24"/>
        </w:rPr>
        <w:footnoteReference w:id="16"/>
      </w:r>
      <w:r w:rsidRPr="00BB1C3C">
        <w:rPr>
          <w:rFonts w:ascii="Arial" w:hAnsi="Arial" w:cs="Arial"/>
          <w:sz w:val="24"/>
          <w:szCs w:val="24"/>
        </w:rPr>
        <w:t xml:space="preserve"> su importancia podía modularse por el conjunto de recursos al alcance de una población particular. Si bien hoy es muy urgente una lucha para defender la integridad de los últimos maíces originarios de México existentes, no debemos olvidar que la desaparición de centenares de variedades de estos maíces desde hace cinco siglos impide no sólo elaborar una historia completa de la producción y consumo de esa planta, sino tampoco delinear en verdad su peso simbólico y en </w:t>
      </w:r>
      <w:r w:rsidRPr="00BB1C3C">
        <w:rPr>
          <w:rFonts w:ascii="Arial" w:hAnsi="Arial" w:cs="Arial"/>
          <w:sz w:val="24"/>
          <w:szCs w:val="24"/>
        </w:rPr>
        <w:lastRenderedPageBreak/>
        <w:t xml:space="preserve">la alimentación que pudo tener dicho cereal en las antiguas culturas americanas. La deificación contemporánea del maíz, como todo lo que toca al mundo antiguo mexicano, no ayuda a entenderlo, </w:t>
      </w:r>
      <w:proofErr w:type="spellStart"/>
      <w:r w:rsidRPr="00BB1C3C">
        <w:rPr>
          <w:rFonts w:ascii="Arial" w:hAnsi="Arial" w:cs="Arial"/>
          <w:sz w:val="24"/>
          <w:szCs w:val="24"/>
        </w:rPr>
        <w:t>si no</w:t>
      </w:r>
      <w:proofErr w:type="spellEnd"/>
      <w:r w:rsidRPr="00BB1C3C">
        <w:rPr>
          <w:rFonts w:ascii="Arial" w:hAnsi="Arial" w:cs="Arial"/>
          <w:sz w:val="24"/>
          <w:szCs w:val="24"/>
        </w:rPr>
        <w:t xml:space="preserve"> más bien -y eso puede discutirse evidentemente- crea una nueva cortina de humo que impide llegar a lo que pudo ser la lógica de apropiación de la naturaleza y su transformación en las antiguas culturas americanas. La sacralización en curso de todo lo que se considera hoy el patrimonio mexicano, perteneciente a ese legajo antiguo, me parece sólo una nueva negación de la riqueza del pensamiento y el saber americanos, retomando inconscientemente lo que se decía en los discursos colonialistas de los siglos pasados sobre la incapacidad de los “primitivos”, esos seres </w:t>
      </w:r>
      <w:proofErr w:type="spellStart"/>
      <w:r w:rsidRPr="00BB1C3C">
        <w:rPr>
          <w:rFonts w:ascii="Arial" w:hAnsi="Arial" w:cs="Arial"/>
          <w:sz w:val="24"/>
          <w:szCs w:val="24"/>
        </w:rPr>
        <w:t>prelógicos</w:t>
      </w:r>
      <w:proofErr w:type="spellEnd"/>
      <w:r w:rsidRPr="00BB1C3C">
        <w:rPr>
          <w:rFonts w:ascii="Arial" w:hAnsi="Arial" w:cs="Arial"/>
          <w:sz w:val="24"/>
          <w:szCs w:val="24"/>
        </w:rPr>
        <w:t xml:space="preserve"> indefinidamente encerrados en el mito y lo sagrado. Y si hoy es posible encontrar “informantes” en el campo que describen sus tradiciones, que todas son repentinamente “sagradas”, para mí no hay ninguna duda de que se trata de la integración reciente de una forma de discurso antropológico diseminado por el estado nacional y sus aparatos culturales. Que estos partidarios de la sacralización general del mundo indígena sean en particular ruidosos, no quiere decir que sus proposiciones sean historiográficamente correctas.  </w:t>
      </w:r>
    </w:p>
    <w:p w:rsidR="00267F8E"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Por otra parte, no debemos olvidar que esos grupos indígenas durante 500 años fueron víctimas de terribles epidemias, que tan sólo en el siglo XVI los redujeron a un poco más del 15% de lo que eran antes del “contacto”, y que siguieron asolados durante siglos por otras epidemias que provocaron migraciones y desplazamientos, no por falta de estudio inexistentes. En sus ensayos de reconstrucción grupal, fue difícil también escapar a la influencia de la “república de españoles”, que los necesitaban como mano de obra y proveedores de recursos, y ese contacto modificó sustancialmente (al igual que la reducción en pueblos) su relación con la naturaleza y por tanto sus fuentes de abastecimiento alimentario cotidiano. De la misma manera que la prohibición de la poligamia, y probablemente de su corolario la poliandria, modificó de manera drástica el funcionamiento del tejido social y los sistemas de alianzas entre estos grupos. En la medida en que la evangelización, lograda o no (queda por precisar en qué medida), fue planeada también como un verdadero etnocidio, es evidente que éste </w:t>
      </w:r>
      <w:r w:rsidRPr="00BB1C3C">
        <w:rPr>
          <w:rFonts w:ascii="Arial" w:hAnsi="Arial" w:cs="Arial"/>
          <w:sz w:val="24"/>
          <w:szCs w:val="24"/>
        </w:rPr>
        <w:lastRenderedPageBreak/>
        <w:t>trastornó marcada y perdurablemente la alimentación de los evangelizados. No podemos pretender creer que, tan sólo con nuestro buen deseo de ayudar y defender el patrimonio indígena, sea posible, como lo pretenden muchos investigadores contemporáneos, en especial etnohistoriadores, alcanzar la verdad de la relación con la naturaleza de estos pueblos y lo tanto de sus maneras de integrarse en ella aprovechando sus frutos y transformándola. Por otra parte, debemos olvidarnos de la idea de una comunidad campesina unitaria en la manera de aprovecharse de esa misma naturaleza y en consecuencia de alimentarse. La observación etnológica, a pesar de todos sus yerros, ha logrado sugerir con verosimilitud que los tabús alimentarios no idénticos son para todos en un mismo grupo.</w:t>
      </w:r>
      <w:r w:rsidRPr="00BB1C3C">
        <w:rPr>
          <w:rStyle w:val="Refdenotaalpie"/>
          <w:rFonts w:ascii="Arial" w:hAnsi="Arial" w:cs="Arial"/>
          <w:sz w:val="24"/>
          <w:szCs w:val="24"/>
        </w:rPr>
        <w:footnoteReference w:id="17"/>
      </w:r>
      <w:r w:rsidRPr="00BB1C3C">
        <w:rPr>
          <w:rFonts w:ascii="Arial" w:hAnsi="Arial" w:cs="Arial"/>
          <w:sz w:val="24"/>
          <w:szCs w:val="24"/>
        </w:rPr>
        <w:t xml:space="preserve"> Por otra parte, es muy probable que el consumo cotidiano y altamente simbólico de la trilogía cristiana occidental (pan-vino-carne) haya tenido en el mundo hispano una profunda influencia en muchas regiones indígenas a lo largo de los siglos, ya que representaba el consumo de los poderosos laicos o religiosos, un mundo al cual los linajes de los supuestos “nobles” y caciques de estas comunidades intentaban integrarse para legitimar su poder y su permanencia en la cúspide regional.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p>
    <w:p w:rsidR="00267F8E" w:rsidRPr="00133CBF" w:rsidRDefault="00267F8E" w:rsidP="00267F8E">
      <w:pPr>
        <w:pStyle w:val="Textoindependiente"/>
        <w:spacing w:after="0" w:line="360" w:lineRule="auto"/>
        <w:contextualSpacing/>
        <w:jc w:val="both"/>
        <w:rPr>
          <w:rFonts w:ascii="Arial" w:hAnsi="Arial" w:cs="Arial"/>
          <w:b/>
          <w:bCs/>
          <w:iCs/>
          <w:sz w:val="24"/>
          <w:szCs w:val="24"/>
        </w:rPr>
      </w:pPr>
      <w:r w:rsidRPr="00133CBF">
        <w:rPr>
          <w:rFonts w:ascii="Arial" w:hAnsi="Arial" w:cs="Arial"/>
          <w:b/>
          <w:bCs/>
          <w:iCs/>
          <w:sz w:val="24"/>
          <w:szCs w:val="24"/>
        </w:rPr>
        <w:t>Sin conclusiones definitivas</w:t>
      </w:r>
    </w:p>
    <w:p w:rsidR="00267F8E" w:rsidRPr="00BB1C3C" w:rsidRDefault="00267F8E" w:rsidP="00267F8E">
      <w:pPr>
        <w:pStyle w:val="Textoindependiente"/>
        <w:spacing w:after="0" w:line="360" w:lineRule="auto"/>
        <w:contextualSpacing/>
        <w:jc w:val="both"/>
        <w:rPr>
          <w:rFonts w:ascii="Arial" w:hAnsi="Arial" w:cs="Arial"/>
          <w:sz w:val="24"/>
          <w:szCs w:val="24"/>
        </w:rPr>
      </w:pPr>
      <w:r w:rsidRPr="00BB1C3C">
        <w:rPr>
          <w:rFonts w:ascii="Arial" w:hAnsi="Arial" w:cs="Arial"/>
          <w:sz w:val="24"/>
          <w:szCs w:val="24"/>
        </w:rPr>
        <w:t xml:space="preserve">Lo más importante es recuperar la experiencia histórica de la relación del hombre con su medio; es decir, que toda reflexión de tipo ecológica tiene que escribirse en una perspectiva histórica. Por ejemplo, es hoy evidente que en este planeta no hay bosques vírgenes: todos los grandes conjuntos forestales fueron profundamente moldeados por el efecto de la presencia del hombre durante siglos. </w:t>
      </w:r>
    </w:p>
    <w:p w:rsidR="00267F8E" w:rsidRPr="00BB1C3C" w:rsidRDefault="00267F8E" w:rsidP="00267F8E">
      <w:pPr>
        <w:pStyle w:val="Textoindependiente"/>
        <w:spacing w:after="0" w:line="360" w:lineRule="auto"/>
        <w:ind w:firstLine="340"/>
        <w:contextualSpacing/>
        <w:jc w:val="both"/>
        <w:rPr>
          <w:rFonts w:ascii="Arial" w:hAnsi="Arial" w:cs="Arial"/>
          <w:sz w:val="24"/>
          <w:szCs w:val="24"/>
        </w:rPr>
      </w:pPr>
      <w:r w:rsidRPr="00BB1C3C">
        <w:rPr>
          <w:rFonts w:ascii="Arial" w:hAnsi="Arial" w:cs="Arial"/>
          <w:sz w:val="24"/>
          <w:szCs w:val="24"/>
        </w:rPr>
        <w:t xml:space="preserve">Por último, los modos de cocinar y alimentar se encuentran sólo al final de una gran relación transformadora que el hombre teje con su medio. Estos modos de compenetrarse con su medio ambiente son múltiples y cambiantes y por esto son objeto de una posible historia aún por hacer. En consecuencia, una reflexión sobre </w:t>
      </w:r>
      <w:r w:rsidRPr="00BB1C3C">
        <w:rPr>
          <w:rFonts w:ascii="Arial" w:hAnsi="Arial" w:cs="Arial"/>
          <w:sz w:val="24"/>
          <w:szCs w:val="24"/>
        </w:rPr>
        <w:lastRenderedPageBreak/>
        <w:t xml:space="preserve">la cocina mexicana debe siempre escribirse en esa relación histórica al medio natural en el cual se inscribe.  </w:t>
      </w:r>
    </w:p>
    <w:p w:rsidR="00267F8E" w:rsidRPr="00BB1C3C" w:rsidRDefault="00267F8E" w:rsidP="00267F8E">
      <w:pPr>
        <w:spacing w:after="0" w:line="360" w:lineRule="auto"/>
        <w:contextualSpacing/>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Default="00267F8E" w:rsidP="00267F8E">
      <w:pPr>
        <w:spacing w:after="0" w:line="360" w:lineRule="auto"/>
        <w:contextualSpacing/>
        <w:jc w:val="both"/>
        <w:rPr>
          <w:rFonts w:ascii="Arial" w:hAnsi="Arial" w:cs="Arial"/>
          <w:sz w:val="24"/>
          <w:szCs w:val="24"/>
        </w:rPr>
      </w:pPr>
    </w:p>
    <w:p w:rsidR="00267F8E" w:rsidRDefault="00267F8E" w:rsidP="00267F8E">
      <w:pPr>
        <w:spacing w:after="0" w:line="360" w:lineRule="auto"/>
        <w:contextualSpacing/>
        <w:jc w:val="both"/>
        <w:rPr>
          <w:rFonts w:ascii="Arial" w:hAnsi="Arial" w:cs="Arial"/>
          <w:sz w:val="24"/>
          <w:szCs w:val="24"/>
        </w:rPr>
      </w:pPr>
    </w:p>
    <w:p w:rsidR="00267F8E"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041EDC" w:rsidRDefault="00267F8E" w:rsidP="00267F8E">
      <w:pPr>
        <w:spacing w:after="0" w:line="240" w:lineRule="auto"/>
        <w:ind w:firstLine="340"/>
        <w:contextualSpacing/>
        <w:jc w:val="center"/>
        <w:rPr>
          <w:rFonts w:ascii="Arial" w:hAnsi="Arial" w:cs="Arial"/>
          <w:b/>
          <w:sz w:val="28"/>
          <w:szCs w:val="28"/>
          <w:lang w:eastAsia="es-MX"/>
        </w:rPr>
      </w:pPr>
      <w:r w:rsidRPr="00041EDC">
        <w:rPr>
          <w:rFonts w:ascii="Arial" w:hAnsi="Arial" w:cs="Arial"/>
          <w:b/>
          <w:sz w:val="28"/>
          <w:szCs w:val="28"/>
          <w:lang w:eastAsia="es-MX"/>
        </w:rPr>
        <w:lastRenderedPageBreak/>
        <w:t xml:space="preserve">Los cambios alimentarios en Jalapa </w:t>
      </w:r>
      <w:r w:rsidRPr="00041EDC">
        <w:rPr>
          <w:rFonts w:ascii="Arial" w:hAnsi="Arial" w:cs="Arial"/>
          <w:b/>
          <w:sz w:val="28"/>
          <w:szCs w:val="28"/>
          <w:lang w:eastAsia="es-MX"/>
        </w:rPr>
        <w:br/>
        <w:t>propiciados por las guerras de Independencia</w:t>
      </w:r>
    </w:p>
    <w:p w:rsidR="00267F8E" w:rsidRDefault="00267F8E" w:rsidP="00267F8E">
      <w:pPr>
        <w:spacing w:after="0" w:line="240" w:lineRule="auto"/>
        <w:ind w:firstLine="709"/>
        <w:contextualSpacing/>
        <w:jc w:val="right"/>
        <w:rPr>
          <w:rFonts w:ascii="Arial" w:hAnsi="Arial" w:cs="Arial"/>
          <w:i/>
          <w:sz w:val="24"/>
          <w:szCs w:val="24"/>
          <w:lang w:eastAsia="es-MX"/>
        </w:rPr>
      </w:pPr>
    </w:p>
    <w:p w:rsidR="00267F8E" w:rsidRPr="00BB1C3C" w:rsidRDefault="00267F8E" w:rsidP="00267F8E">
      <w:pPr>
        <w:spacing w:after="0" w:line="240" w:lineRule="auto"/>
        <w:ind w:firstLine="709"/>
        <w:contextualSpacing/>
        <w:jc w:val="right"/>
        <w:rPr>
          <w:rFonts w:ascii="Arial" w:hAnsi="Arial" w:cs="Arial"/>
          <w:i/>
          <w:sz w:val="24"/>
          <w:szCs w:val="24"/>
          <w:lang w:eastAsia="es-MX"/>
        </w:rPr>
      </w:pPr>
      <w:r w:rsidRPr="00BB1C3C">
        <w:rPr>
          <w:rFonts w:ascii="Arial" w:hAnsi="Arial" w:cs="Arial"/>
          <w:i/>
          <w:sz w:val="24"/>
          <w:szCs w:val="24"/>
          <w:lang w:eastAsia="es-MX"/>
        </w:rPr>
        <w:t xml:space="preserve">Dr. </w:t>
      </w:r>
      <w:proofErr w:type="spellStart"/>
      <w:r w:rsidRPr="00BB1C3C">
        <w:rPr>
          <w:rFonts w:ascii="Arial" w:hAnsi="Arial" w:cs="Arial"/>
          <w:i/>
          <w:sz w:val="24"/>
          <w:szCs w:val="24"/>
          <w:lang w:eastAsia="es-MX"/>
        </w:rPr>
        <w:t>Guy</w:t>
      </w:r>
      <w:proofErr w:type="spellEnd"/>
      <w:r w:rsidRPr="00BB1C3C">
        <w:rPr>
          <w:rFonts w:ascii="Arial" w:hAnsi="Arial" w:cs="Arial"/>
          <w:i/>
          <w:sz w:val="24"/>
          <w:szCs w:val="24"/>
          <w:lang w:eastAsia="es-MX"/>
        </w:rPr>
        <w:t xml:space="preserve"> </w:t>
      </w:r>
      <w:proofErr w:type="spellStart"/>
      <w:r w:rsidRPr="00BB1C3C">
        <w:rPr>
          <w:rFonts w:ascii="Arial" w:hAnsi="Arial" w:cs="Arial"/>
          <w:i/>
          <w:sz w:val="24"/>
          <w:szCs w:val="24"/>
          <w:lang w:eastAsia="es-MX"/>
        </w:rPr>
        <w:t>Rozat</w:t>
      </w:r>
      <w:proofErr w:type="spellEnd"/>
      <w:r w:rsidRPr="00BB1C3C">
        <w:rPr>
          <w:rFonts w:ascii="Arial" w:hAnsi="Arial" w:cs="Arial"/>
          <w:i/>
          <w:sz w:val="24"/>
          <w:szCs w:val="24"/>
          <w:lang w:eastAsia="es-MX"/>
        </w:rPr>
        <w:t xml:space="preserve"> </w:t>
      </w:r>
      <w:proofErr w:type="spellStart"/>
      <w:r w:rsidRPr="00BB1C3C">
        <w:rPr>
          <w:rFonts w:ascii="Arial" w:hAnsi="Arial" w:cs="Arial"/>
          <w:i/>
          <w:sz w:val="24"/>
          <w:szCs w:val="24"/>
          <w:lang w:eastAsia="es-MX"/>
        </w:rPr>
        <w:t>Dupeyron</w:t>
      </w:r>
      <w:proofErr w:type="spellEnd"/>
    </w:p>
    <w:p w:rsidR="00267F8E" w:rsidRPr="00BB1C3C" w:rsidRDefault="00267F8E" w:rsidP="00267F8E">
      <w:pPr>
        <w:spacing w:after="0" w:line="240" w:lineRule="auto"/>
        <w:ind w:firstLine="709"/>
        <w:contextualSpacing/>
        <w:jc w:val="right"/>
        <w:rPr>
          <w:rFonts w:ascii="Arial" w:hAnsi="Arial" w:cs="Arial"/>
          <w:i/>
          <w:sz w:val="24"/>
          <w:szCs w:val="24"/>
          <w:lang w:eastAsia="es-MX"/>
        </w:rPr>
      </w:pPr>
      <w:r w:rsidRPr="00BB1C3C">
        <w:rPr>
          <w:rFonts w:ascii="Arial" w:hAnsi="Arial" w:cs="Arial"/>
          <w:i/>
          <w:sz w:val="24"/>
          <w:szCs w:val="24"/>
          <w:lang w:eastAsia="es-MX"/>
        </w:rPr>
        <w:t xml:space="preserve">INAH-Veracruz, Jalapa </w:t>
      </w:r>
    </w:p>
    <w:p w:rsidR="00267F8E" w:rsidRPr="00BB1C3C" w:rsidRDefault="00267F8E" w:rsidP="00267F8E">
      <w:pPr>
        <w:spacing w:after="0" w:line="240" w:lineRule="auto"/>
        <w:ind w:firstLine="709"/>
        <w:contextualSpacing/>
        <w:jc w:val="right"/>
        <w:rPr>
          <w:rFonts w:ascii="Arial" w:hAnsi="Arial" w:cs="Arial"/>
          <w:i/>
          <w:sz w:val="24"/>
          <w:szCs w:val="24"/>
          <w:lang w:eastAsia="es-MX"/>
        </w:rPr>
      </w:pPr>
      <w:r w:rsidRPr="00BB1C3C">
        <w:rPr>
          <w:rFonts w:ascii="Arial" w:hAnsi="Arial" w:cs="Arial"/>
          <w:i/>
          <w:sz w:val="24"/>
          <w:szCs w:val="24"/>
          <w:lang w:eastAsia="es-MX"/>
        </w:rPr>
        <w:t>grozat@gmail.com</w:t>
      </w:r>
    </w:p>
    <w:p w:rsidR="00267F8E" w:rsidRPr="00BB1C3C" w:rsidRDefault="00267F8E" w:rsidP="00267F8E">
      <w:pPr>
        <w:spacing w:after="0" w:line="360" w:lineRule="auto"/>
        <w:ind w:firstLine="709"/>
        <w:contextualSpacing/>
        <w:jc w:val="right"/>
        <w:rPr>
          <w:rFonts w:ascii="Arial" w:hAnsi="Arial" w:cs="Arial"/>
          <w:i/>
          <w:sz w:val="24"/>
          <w:szCs w:val="24"/>
          <w:lang w:eastAsia="es-MX"/>
        </w:rPr>
      </w:pP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b/>
          <w:sz w:val="24"/>
          <w:szCs w:val="24"/>
          <w:lang w:eastAsia="es-MX"/>
        </w:rPr>
        <w:t>Resumen</w:t>
      </w: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sz w:val="24"/>
          <w:szCs w:val="24"/>
          <w:lang w:eastAsia="es-MX"/>
        </w:rPr>
        <w:t>Con base en un modelo simbólico cristiano e hispano de representación de la buena alimentación, caracterizado por la trilogía pan-carne-vino y predominante en la villa de Jalapa a finales del siglo XVIII, se intenta mostrar de qué manera ese sistema de identidad alimentario, en el contexto del movimiento de Independencia y sus transformaciones sociales, dará nacimiento a un nuevo sistema simbólico de alimentación en el cual el consumo del maíz se vuelve el elemento principal y el consumo de la carne se reduce de forma notable. En esa evolución se puede ver a escala lo que será, en los siglos XIX y XX, la constitución de una comida mexicana.</w:t>
      </w: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b/>
          <w:sz w:val="24"/>
          <w:szCs w:val="24"/>
          <w:lang w:eastAsia="es-MX"/>
        </w:rPr>
        <w:t>Palabras clave:</w:t>
      </w:r>
      <w:r w:rsidRPr="00BB1C3C">
        <w:rPr>
          <w:rFonts w:ascii="Arial" w:hAnsi="Arial" w:cs="Arial"/>
          <w:sz w:val="24"/>
          <w:szCs w:val="24"/>
          <w:lang w:eastAsia="es-MX"/>
        </w:rPr>
        <w:t xml:space="preserve"> alimentación colonial, consumo de pan, consumo de carnes, Independencia, consumo de maíz.</w:t>
      </w:r>
    </w:p>
    <w:p w:rsidR="00267F8E" w:rsidRPr="00BB1C3C" w:rsidRDefault="00267F8E" w:rsidP="00267F8E">
      <w:pPr>
        <w:spacing w:after="0" w:line="360" w:lineRule="auto"/>
        <w:contextualSpacing/>
        <w:jc w:val="both"/>
        <w:rPr>
          <w:rFonts w:ascii="Arial" w:hAnsi="Arial" w:cs="Arial"/>
          <w:sz w:val="24"/>
          <w:szCs w:val="24"/>
          <w:lang w:eastAsia="es-MX"/>
        </w:rPr>
      </w:pPr>
    </w:p>
    <w:p w:rsidR="00267F8E" w:rsidRPr="00BB1C3C" w:rsidRDefault="00267F8E" w:rsidP="00267F8E">
      <w:pPr>
        <w:spacing w:after="0" w:line="360" w:lineRule="auto"/>
        <w:contextualSpacing/>
        <w:jc w:val="both"/>
        <w:rPr>
          <w:rFonts w:ascii="Arial" w:hAnsi="Arial" w:cs="Arial"/>
          <w:b/>
          <w:sz w:val="24"/>
          <w:szCs w:val="24"/>
          <w:lang w:eastAsia="es-MX"/>
        </w:rPr>
      </w:pPr>
      <w:r w:rsidRPr="00BB1C3C">
        <w:rPr>
          <w:rFonts w:ascii="Arial" w:hAnsi="Arial" w:cs="Arial"/>
          <w:b/>
          <w:sz w:val="24"/>
          <w:szCs w:val="24"/>
          <w:lang w:eastAsia="es-MX"/>
        </w:rPr>
        <w:t>Antecedentes de la investigación</w:t>
      </w: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sz w:val="24"/>
          <w:szCs w:val="24"/>
          <w:lang w:eastAsia="es-MX"/>
        </w:rPr>
        <w:t>Los resultados presentados provienen de una investigación efectuada con anterioridad y que se ha presentado sólo en parte en un congreso celebrado en Zacatecas sobre el tema general “Los cambios alimenticios entre 1810 y 1910”.</w:t>
      </w:r>
      <w:r w:rsidRPr="00BB1C3C">
        <w:rPr>
          <w:rStyle w:val="Refdenotaalpie"/>
          <w:rFonts w:ascii="Arial" w:hAnsi="Arial" w:cs="Arial"/>
          <w:sz w:val="24"/>
          <w:szCs w:val="24"/>
          <w:lang w:eastAsia="es-MX"/>
        </w:rPr>
        <w:footnoteReference w:id="18"/>
      </w:r>
      <w:r w:rsidRPr="00BB1C3C">
        <w:rPr>
          <w:rFonts w:ascii="Arial" w:hAnsi="Arial" w:cs="Arial"/>
          <w:sz w:val="24"/>
          <w:szCs w:val="24"/>
          <w:lang w:eastAsia="es-MX"/>
        </w:rPr>
        <w:t xml:space="preserve"> Si los organizadores habían propuesto un periodo tan amplio probablemente presuponían que había una cierta continuidad en las maneras de comer en México, y que los grandes momentos de la Independencia como de la Revolución no habían propiciado tantos cambios en esa tradición de la “comida mexicana”.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Pr>
          <w:rFonts w:ascii="Arial" w:hAnsi="Arial" w:cs="Arial"/>
          <w:sz w:val="24"/>
          <w:szCs w:val="24"/>
          <w:lang w:eastAsia="es-MX"/>
        </w:rPr>
        <w:t xml:space="preserve">Tal ejercicio era delicado, ya que </w:t>
      </w:r>
      <w:r w:rsidRPr="00BB1C3C">
        <w:rPr>
          <w:rFonts w:ascii="Arial" w:hAnsi="Arial" w:cs="Arial"/>
          <w:sz w:val="24"/>
          <w:szCs w:val="24"/>
          <w:lang w:eastAsia="es-MX"/>
        </w:rPr>
        <w:t xml:space="preserve">también los organizadores, para contar con un panorama geográfico de lo que ocurrió en la totalidad del país en ese periodo, habían “recomendado” centrar los estudios en un estado específico (en aquella </w:t>
      </w:r>
      <w:r w:rsidRPr="00BB1C3C">
        <w:rPr>
          <w:rFonts w:ascii="Arial" w:hAnsi="Arial" w:cs="Arial"/>
          <w:sz w:val="24"/>
          <w:szCs w:val="24"/>
          <w:lang w:eastAsia="es-MX"/>
        </w:rPr>
        <w:lastRenderedPageBreak/>
        <w:t>ocasión al autor se le asignaron las entidades de Veracruz y Tabasco).</w:t>
      </w:r>
      <w:r w:rsidRPr="00BB1C3C">
        <w:rPr>
          <w:rStyle w:val="Refdenotaalpie"/>
          <w:rFonts w:ascii="Arial" w:hAnsi="Arial" w:cs="Arial"/>
          <w:sz w:val="24"/>
          <w:szCs w:val="24"/>
          <w:lang w:eastAsia="es-MX"/>
        </w:rPr>
        <w:footnoteReference w:id="19"/>
      </w:r>
      <w:r w:rsidRPr="00BB1C3C">
        <w:rPr>
          <w:rFonts w:ascii="Arial" w:hAnsi="Arial" w:cs="Arial"/>
          <w:sz w:val="24"/>
          <w:szCs w:val="24"/>
          <w:lang w:eastAsia="es-MX"/>
        </w:rPr>
        <w:t xml:space="preserve">  Al comenzar la investigación resultó evidente casi de inmediato que los cambios provocados entre el movimiento de Independencia y la posrevolución eran tan numerosos que tan sólo para describirlos se necesitarían varias centenas de páginas. En consecuencia, se establecieron límites temporales.  Por lo tanto, este estudio sólo se limita a lo que pudo ocurrir, o que probablemente ocurrió, en la mesa de sus ciudadanos en un espacio bien circunscrito: la villa de Jalapa, entre la última década del siglo XVIII y las tres primeras del siglo XIX.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Unos años antes el autor ya había realizado una pequeña investigación sobre la alimentación en </w:t>
      </w:r>
      <w:proofErr w:type="spellStart"/>
      <w:r w:rsidRPr="00BB1C3C">
        <w:rPr>
          <w:rFonts w:ascii="Arial" w:hAnsi="Arial" w:cs="Arial"/>
          <w:sz w:val="24"/>
          <w:szCs w:val="24"/>
          <w:lang w:eastAsia="es-MX"/>
        </w:rPr>
        <w:t>Kalapa</w:t>
      </w:r>
      <w:proofErr w:type="spellEnd"/>
      <w:r w:rsidRPr="00BB1C3C">
        <w:rPr>
          <w:rFonts w:ascii="Arial" w:hAnsi="Arial" w:cs="Arial"/>
          <w:sz w:val="24"/>
          <w:szCs w:val="24"/>
          <w:lang w:eastAsia="es-MX"/>
        </w:rPr>
        <w:t xml:space="preserve"> a finales de la Colonia y sus objetivos había sido más bien construir modelos de consumo de pan y carnes en esa villa.</w:t>
      </w:r>
      <w:r w:rsidRPr="00BB1C3C">
        <w:rPr>
          <w:rStyle w:val="Refdenotaalpie"/>
          <w:rFonts w:ascii="Arial" w:hAnsi="Arial" w:cs="Arial"/>
          <w:sz w:val="24"/>
          <w:szCs w:val="24"/>
          <w:lang w:eastAsia="es-MX"/>
        </w:rPr>
        <w:footnoteReference w:id="20"/>
      </w:r>
      <w:r w:rsidRPr="00BB1C3C">
        <w:rPr>
          <w:rFonts w:ascii="Arial" w:hAnsi="Arial" w:cs="Arial"/>
          <w:sz w:val="24"/>
          <w:szCs w:val="24"/>
          <w:lang w:eastAsia="es-MX"/>
        </w:rPr>
        <w:t xml:space="preserve"> En aquel entonces se consideró que definir el modelo de consumo era más informativo que calcular raciones individuales, es decir, la simple medida estadística que consistía en calcular la masa de comida disponible en una villa y dividirla por el número de sus habitantes; esto se debió, desde luego, a que si bien es posible medir con cierta aproximación los flujos de algunos alimentos que entran en villas y ciudades, no puede determinarse con certeza quién comía tal producto y en qué cantidad.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A fines de la Colonia, una pequeña villa como Jalapa inauguró su Ayuntamiento; su primera tarea fue controlar el abasto de alimentos y, dado que necesitaba obtener recursos “propios” para su funcionamiento, impuso derechos de entrada a diversas mercancías a las garitas de la villa y otros sobre la matanza de animales, en particular reses y corderos. Por consiguiente, con base en estas primeras series de datos fiscales fue posible calcular, en cierta medida, la cantidad de carne disponible  para el consumo,  por lo menos la registrada en el rastro. Tal cantidad debe contrastarse con el gran número de pollos que se consumían, sin </w:t>
      </w:r>
      <w:r w:rsidRPr="00BB1C3C">
        <w:rPr>
          <w:rFonts w:ascii="Arial" w:hAnsi="Arial" w:cs="Arial"/>
          <w:sz w:val="24"/>
          <w:szCs w:val="24"/>
          <w:lang w:eastAsia="es-MX"/>
        </w:rPr>
        <w:lastRenderedPageBreak/>
        <w:t xml:space="preserve">olvidar los incontables jamones y tocinos, y carne fresca de cerdo que provenía de la crianza local o foránea; a este cálculo es necesario añadir, para tener un panorama completo del consumo </w:t>
      </w:r>
      <w:proofErr w:type="spellStart"/>
      <w:r w:rsidRPr="00BB1C3C">
        <w:rPr>
          <w:rFonts w:ascii="Arial" w:hAnsi="Arial" w:cs="Arial"/>
          <w:sz w:val="24"/>
          <w:szCs w:val="24"/>
          <w:lang w:eastAsia="es-MX"/>
        </w:rPr>
        <w:t>carnícola</w:t>
      </w:r>
      <w:proofErr w:type="spellEnd"/>
      <w:r w:rsidRPr="00BB1C3C">
        <w:rPr>
          <w:rFonts w:ascii="Arial" w:hAnsi="Arial" w:cs="Arial"/>
          <w:sz w:val="24"/>
          <w:szCs w:val="24"/>
          <w:lang w:eastAsia="es-MX"/>
        </w:rPr>
        <w:t xml:space="preserve"> en esa villa, las cabras y otros diversos productos del corral: pavos, pichones, patos, sin olvidar los productos siempre difíciles de precisar de la cacería. </w:t>
      </w:r>
    </w:p>
    <w:p w:rsidR="00267F8E" w:rsidRPr="00BB1C3C" w:rsidRDefault="00267F8E" w:rsidP="00267F8E">
      <w:pPr>
        <w:spacing w:after="0" w:line="360" w:lineRule="auto"/>
        <w:contextualSpacing/>
        <w:jc w:val="both"/>
        <w:rPr>
          <w:rFonts w:ascii="Arial" w:hAnsi="Arial" w:cs="Arial"/>
          <w:b/>
          <w:sz w:val="24"/>
          <w:szCs w:val="24"/>
          <w:lang w:eastAsia="es-MX"/>
        </w:rPr>
      </w:pPr>
    </w:p>
    <w:p w:rsidR="00267F8E" w:rsidRPr="00BB1C3C" w:rsidRDefault="00267F8E" w:rsidP="00267F8E">
      <w:pPr>
        <w:spacing w:after="0" w:line="360" w:lineRule="auto"/>
        <w:contextualSpacing/>
        <w:jc w:val="both"/>
        <w:rPr>
          <w:rFonts w:ascii="Arial" w:hAnsi="Arial" w:cs="Arial"/>
          <w:b/>
          <w:sz w:val="24"/>
          <w:szCs w:val="24"/>
          <w:lang w:eastAsia="es-MX"/>
        </w:rPr>
      </w:pPr>
      <w:r w:rsidRPr="00BB1C3C">
        <w:rPr>
          <w:rFonts w:ascii="Arial" w:hAnsi="Arial" w:cs="Arial"/>
          <w:b/>
          <w:sz w:val="24"/>
          <w:szCs w:val="24"/>
          <w:lang w:eastAsia="es-MX"/>
        </w:rPr>
        <w:t xml:space="preserve">Un modelo de alimentación cristiana </w:t>
      </w: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sz w:val="24"/>
          <w:szCs w:val="24"/>
          <w:lang w:eastAsia="es-MX"/>
        </w:rPr>
        <w:t xml:space="preserve">Antes es preciso recordar una idea cultural fundamental, de gran relevancia en las pesquisas en el Archivo municipal. </w:t>
      </w:r>
      <w:r>
        <w:rPr>
          <w:rFonts w:ascii="Arial" w:hAnsi="Arial" w:cs="Arial"/>
          <w:sz w:val="24"/>
          <w:szCs w:val="24"/>
          <w:lang w:eastAsia="es-MX"/>
        </w:rPr>
        <w:t xml:space="preserve">Jalapa era a finales del XVIII </w:t>
      </w:r>
      <w:r w:rsidRPr="00BB1C3C">
        <w:rPr>
          <w:rFonts w:ascii="Arial" w:hAnsi="Arial" w:cs="Arial"/>
          <w:sz w:val="24"/>
          <w:szCs w:val="24"/>
          <w:lang w:eastAsia="es-MX"/>
        </w:rPr>
        <w:t>una villa cristiana cuya alimentación se organiza sobre una simbólica cristiana. El viejo refrán “Dime lo que comes y te diré quién eres” podía aplicarse a una gran parte de los habitantes de la villa. Y, tal y como lo demuestra su consumo alimenticio, ellos se sentían fieles sujetos del rey de España y buenos cristianos, y la mayor parte podía ostentar la calidad de españoles en los censos periódicos; por su consumo demostraban su deseo de participación de la hispanidad y la cristiandad.</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La trilogía alimentaria occidental era la de trigo-carne-vino. Como analogía de la trilogía mesoamericana maíz-chile-frijol, que consideran como algo sagrado, podría afirmarse también que esa trilogía alimentaria hispana era investida a su ve</w:t>
      </w:r>
      <w:r>
        <w:rPr>
          <w:rFonts w:ascii="Arial" w:hAnsi="Arial" w:cs="Arial"/>
          <w:sz w:val="24"/>
          <w:szCs w:val="24"/>
          <w:lang w:eastAsia="es-MX"/>
        </w:rPr>
        <w:t xml:space="preserve">z de un “aura sagrada”, ya que </w:t>
      </w:r>
      <w:r w:rsidRPr="00BB1C3C">
        <w:rPr>
          <w:rFonts w:ascii="Arial" w:hAnsi="Arial" w:cs="Arial"/>
          <w:sz w:val="24"/>
          <w:szCs w:val="24"/>
          <w:lang w:eastAsia="es-MX"/>
        </w:rPr>
        <w:t>puede considerarse que en la ceremonia religiosa fundamental de esa cultura cristiana, la eucaristía, por un extraño misterio llamado  transustanciación, el pan y el vino se convierten en carne y sangre del hijo de su Dios. Por lo tanto, no deben extrañar los esfuerzos constantes del ayuntamiento, ya que el ideal alimentario de la mayoría de los habitantes -y  esta investigación lo confirma- era comer bastante pan, hartarse de carne y beber mucho vino. Es probable que una franja pauperizada podía ser orillada, algunas veces, a consumir por ejemplo más maíz, mucho más barato que el trigo, pero eso no impedía probablemente que sus aspiraciones tuvieran una inclinación sagrada; el pan se quedaba como un ideal cotidiano, ya que es lo que pedía un buen cristiano en sus oraciones diarias.</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Desde luego, hay que recordar que en la eucaristía el pan y el vino se transforman en carne y sangre de Cristo; no es un sacrilegio. Pero permite pensar </w:t>
      </w:r>
      <w:r w:rsidRPr="00BB1C3C">
        <w:rPr>
          <w:rFonts w:ascii="Arial" w:hAnsi="Arial" w:cs="Arial"/>
          <w:sz w:val="24"/>
          <w:szCs w:val="24"/>
          <w:lang w:eastAsia="es-MX"/>
        </w:rPr>
        <w:lastRenderedPageBreak/>
        <w:t xml:space="preserve">acerca de este trasfondo de la alimentación cotidiana a fines de la Colonia,  que es fundamental para prefigurar evoluciones futuras. En última instancia, un habitante de Jalapa que tenga o no “rasgos indígenas”, que sea incluso reconocido como mestizo, negro o mulato, se acerca por su consumo al del consumidor ideal del buen cristiano. Y es probablemente por eso que en el censo de Nieto de finales del XVIII “no hay indígenas” en el casco de la villa, dado que viviendo en la urbe, comiendo pan y carne y bebiendo algún chiringuito que puede pasar por vino, vestido a la española, yendo a la iglesia, y obedeciendo los “10 mandamientos”, puede participar de una identidad global cristiana “hispana”, tal y como la define la iglesia, ya que es ella, no debe perderse de vista, la que define las pautas sociales e identidades colectivas en esa época.   </w:t>
      </w:r>
    </w:p>
    <w:p w:rsidR="00267F8E" w:rsidRPr="00BB1C3C" w:rsidRDefault="00267F8E" w:rsidP="00267F8E">
      <w:pPr>
        <w:spacing w:after="0" w:line="360" w:lineRule="auto"/>
        <w:contextualSpacing/>
        <w:jc w:val="both"/>
        <w:rPr>
          <w:rFonts w:ascii="Arial" w:hAnsi="Arial" w:cs="Arial"/>
          <w:b/>
          <w:sz w:val="24"/>
          <w:szCs w:val="24"/>
          <w:lang w:eastAsia="es-MX"/>
        </w:rPr>
      </w:pPr>
    </w:p>
    <w:p w:rsidR="00267F8E" w:rsidRPr="00BB1C3C" w:rsidRDefault="00267F8E" w:rsidP="00267F8E">
      <w:pPr>
        <w:spacing w:after="0" w:line="360" w:lineRule="auto"/>
        <w:contextualSpacing/>
        <w:jc w:val="both"/>
        <w:rPr>
          <w:rFonts w:ascii="Arial" w:hAnsi="Arial" w:cs="Arial"/>
          <w:b/>
          <w:sz w:val="24"/>
          <w:szCs w:val="24"/>
          <w:lang w:eastAsia="es-MX"/>
        </w:rPr>
      </w:pPr>
      <w:r w:rsidRPr="00BB1C3C">
        <w:rPr>
          <w:rFonts w:ascii="Arial" w:hAnsi="Arial" w:cs="Arial"/>
          <w:b/>
          <w:sz w:val="24"/>
          <w:szCs w:val="24"/>
          <w:lang w:eastAsia="es-MX"/>
        </w:rPr>
        <w:t>El abasto en una villa a finales del XVIII</w:t>
      </w: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sz w:val="24"/>
          <w:szCs w:val="24"/>
          <w:lang w:eastAsia="es-MX"/>
        </w:rPr>
        <w:t>Cuando se empiezan a estudiar los documentos producidos por un ayuntamiento colonial, para no hacer anacronismos, es preciso despojarse de todos los prejuicios contemporáneos sobre el personal político actual, su función y la naturaleza de su poder.  La expresión “Padres del Ayuntamiento” no debe implicar mofa alguna; estos personajes eran importantes y así los consideraba su población, como moralmente responsables del “buen gobierno” de su villa o ciudad.</w:t>
      </w:r>
      <w:r w:rsidRPr="00BB1C3C">
        <w:rPr>
          <w:rStyle w:val="Refdenotaalpie"/>
          <w:rFonts w:ascii="Arial" w:hAnsi="Arial" w:cs="Arial"/>
          <w:sz w:val="24"/>
          <w:szCs w:val="24"/>
          <w:lang w:eastAsia="es-MX"/>
        </w:rPr>
        <w:footnoteReference w:id="21"/>
      </w:r>
      <w:r w:rsidRPr="00BB1C3C">
        <w:rPr>
          <w:rFonts w:ascii="Arial" w:hAnsi="Arial" w:cs="Arial"/>
          <w:sz w:val="24"/>
          <w:szCs w:val="24"/>
          <w:lang w:eastAsia="es-MX"/>
        </w:rPr>
        <w:t xml:space="preserve"> Ellos buscan obtener un abasto regular, barato y de buena calidad y llegan a pagar de su bolsillo cuando por error se hizo una negociación que resultó deficitaria para las finanzas municipales en el abasto de la villa.</w:t>
      </w:r>
      <w:r w:rsidRPr="00BB1C3C">
        <w:rPr>
          <w:rStyle w:val="Refdenotaalpie"/>
          <w:rFonts w:ascii="Arial" w:hAnsi="Arial" w:cs="Arial"/>
          <w:sz w:val="24"/>
          <w:szCs w:val="24"/>
          <w:lang w:eastAsia="es-MX"/>
        </w:rPr>
        <w:footnoteReference w:id="22"/>
      </w:r>
      <w:r w:rsidRPr="00BB1C3C">
        <w:rPr>
          <w:rFonts w:ascii="Arial" w:hAnsi="Arial" w:cs="Arial"/>
          <w:sz w:val="24"/>
          <w:szCs w:val="24"/>
          <w:lang w:eastAsia="es-MX"/>
        </w:rPr>
        <w:t xml:space="preserve"> Todos saben que un pan caro, un abasto insuficiente, es sinónimo de motines y descontento popular, que termina en saqueos e incendios de las casas capitulares y de la de algún pudiente declarado por </w:t>
      </w:r>
      <w:r w:rsidRPr="00BB1C3C">
        <w:rPr>
          <w:rFonts w:ascii="Arial" w:hAnsi="Arial" w:cs="Arial"/>
          <w:i/>
          <w:sz w:val="24"/>
          <w:szCs w:val="24"/>
          <w:lang w:eastAsia="es-MX"/>
        </w:rPr>
        <w:t>vox populi</w:t>
      </w:r>
      <w:r w:rsidRPr="00BB1C3C">
        <w:rPr>
          <w:rFonts w:ascii="Arial" w:hAnsi="Arial" w:cs="Arial"/>
          <w:sz w:val="24"/>
          <w:szCs w:val="24"/>
          <w:lang w:eastAsia="es-MX"/>
        </w:rPr>
        <w:t xml:space="preserve"> responsable del “mal gobierno”. Recuérdese que en esa época no existe policía digna de ese nombre para mantener el orden con eficacia; es por ello que estos personajes poderosos llevan una política interna muy cuidadosa y son tan atentos en realizar ese abasto </w:t>
      </w:r>
      <w:r w:rsidRPr="00BB1C3C">
        <w:rPr>
          <w:rFonts w:ascii="Arial" w:hAnsi="Arial" w:cs="Arial"/>
          <w:sz w:val="24"/>
          <w:szCs w:val="24"/>
          <w:lang w:eastAsia="es-MX"/>
        </w:rPr>
        <w:lastRenderedPageBreak/>
        <w:t>cotidiano, seguro, barato y de buena calidad.</w:t>
      </w:r>
      <w:r w:rsidRPr="00BB1C3C">
        <w:rPr>
          <w:rStyle w:val="Refdenotaalpie"/>
          <w:rFonts w:ascii="Arial" w:hAnsi="Arial" w:cs="Arial"/>
          <w:sz w:val="24"/>
          <w:szCs w:val="24"/>
          <w:lang w:eastAsia="es-MX"/>
        </w:rPr>
        <w:footnoteReference w:id="23"/>
      </w:r>
      <w:r w:rsidRPr="00BB1C3C">
        <w:rPr>
          <w:rFonts w:ascii="Arial" w:hAnsi="Arial" w:cs="Arial"/>
          <w:sz w:val="24"/>
          <w:szCs w:val="24"/>
          <w:lang w:eastAsia="es-MX"/>
        </w:rPr>
        <w:t xml:space="preserve"> Es un cuadro de un sentido de justicia redistributiva cristiana y es “naturalmente” que los habitantes aceptan ser dirigidos por hombres poderosos, porque frente a la ausencia del estado sólo ellos pueden garantizar el abasto o prestar dinero a la colectividad para trabajos de interés colectivo, más aún en una villa como Jalapa con un Ayuntamiento sin recursos propios.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Está claro que acceder a un puesto en el Ayuntamiento es a la vez una marca de prestigio, la consagración social de una carrera de comerciante y también una manera de obtener contactos y facilidades para nuevos negocios. Pero en esa época aún nadie hace fortuna ocupando puestos políticos municipales, por lo menos en </w:t>
      </w:r>
      <w:proofErr w:type="spellStart"/>
      <w:r w:rsidRPr="00BB1C3C">
        <w:rPr>
          <w:rFonts w:ascii="Arial" w:hAnsi="Arial" w:cs="Arial"/>
          <w:sz w:val="24"/>
          <w:szCs w:val="24"/>
          <w:lang w:eastAsia="es-MX"/>
        </w:rPr>
        <w:t>Kalapa</w:t>
      </w:r>
      <w:proofErr w:type="spellEnd"/>
      <w:r w:rsidRPr="00BB1C3C">
        <w:rPr>
          <w:rFonts w:ascii="Arial" w:hAnsi="Arial" w:cs="Arial"/>
          <w:sz w:val="24"/>
          <w:szCs w:val="24"/>
          <w:lang w:eastAsia="es-MX"/>
        </w:rPr>
        <w:t>, aunque pertenecer a esa cúpula pueda marcar el acceso a un grupo privilegiado y permitir la consolidación de las alianzas comerciales o su fortalecimiento por alianzas de tipo matrimonial.</w:t>
      </w:r>
    </w:p>
    <w:p w:rsidR="00267F8E" w:rsidRPr="00BB1C3C" w:rsidRDefault="00267F8E" w:rsidP="00267F8E">
      <w:pPr>
        <w:spacing w:after="0" w:line="360" w:lineRule="auto"/>
        <w:contextualSpacing/>
        <w:jc w:val="both"/>
        <w:rPr>
          <w:rFonts w:ascii="Arial" w:hAnsi="Arial" w:cs="Arial"/>
          <w:b/>
          <w:sz w:val="24"/>
          <w:szCs w:val="24"/>
          <w:lang w:eastAsia="es-MX"/>
        </w:rPr>
      </w:pPr>
    </w:p>
    <w:p w:rsidR="00267F8E" w:rsidRPr="00BB1C3C" w:rsidRDefault="00267F8E" w:rsidP="00267F8E">
      <w:pPr>
        <w:spacing w:after="0" w:line="360" w:lineRule="auto"/>
        <w:contextualSpacing/>
        <w:jc w:val="both"/>
        <w:rPr>
          <w:rFonts w:ascii="Arial" w:hAnsi="Arial" w:cs="Arial"/>
          <w:b/>
          <w:sz w:val="24"/>
          <w:szCs w:val="24"/>
          <w:lang w:eastAsia="es-MX"/>
        </w:rPr>
      </w:pPr>
      <w:r w:rsidRPr="00BB1C3C">
        <w:rPr>
          <w:rFonts w:ascii="Arial" w:hAnsi="Arial" w:cs="Arial"/>
          <w:b/>
          <w:sz w:val="24"/>
          <w:szCs w:val="24"/>
          <w:lang w:eastAsia="es-MX"/>
        </w:rPr>
        <w:t>El modelo de alimentación novohispano en Jalapa</w:t>
      </w: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sz w:val="24"/>
          <w:szCs w:val="24"/>
          <w:lang w:eastAsia="es-MX"/>
        </w:rPr>
        <w:t xml:space="preserve">Para reconstruir las prácticas alimentarias en Jalapa a finales de la época virreinal se obtuvieron suficientes datos disponibles en el Archivo Municipal de Xalapa (AMX) para el periodo incluido entre los años 1794 y 1820. A partir de 1811, los problemas en el abasto empiezan a hacerse sentir por la presencia de gavillas de insurgentes en los pueblos cercanos que perturban el transporte de mercancías, y por lo tanto el abasto de la villa, y se puede presuponer que ya las prácticas alimentarias tradicionales empiezan a distorsionarse.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Desde luego, durante esta época no se trata de saltos repentinos, sino más bien de un paso paulatino y no todas las microrregiones  del futuro Estado de Veracruz serán tocadas de la misma manera y al mismo ritmo, pero sí se puede observar una evolución global clara que se abrirá paso a un nuevo régimen de alimentación en esta región.</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lastRenderedPageBreak/>
        <w:t>Por otra parte, hay que recordar que en este espacio “veracruzano” existen unas grandes variedades climáticas a las cuales los hombres tienen que enfre</w:t>
      </w:r>
      <w:r>
        <w:rPr>
          <w:rFonts w:ascii="Arial" w:hAnsi="Arial" w:cs="Arial"/>
          <w:sz w:val="24"/>
          <w:szCs w:val="24"/>
          <w:lang w:eastAsia="es-MX"/>
        </w:rPr>
        <w:t xml:space="preserve">ntarse de manera diferenciada, </w:t>
      </w:r>
      <w:r w:rsidRPr="00BB1C3C">
        <w:rPr>
          <w:rFonts w:ascii="Arial" w:hAnsi="Arial" w:cs="Arial"/>
          <w:sz w:val="24"/>
          <w:szCs w:val="24"/>
          <w:lang w:eastAsia="es-MX"/>
        </w:rPr>
        <w:t xml:space="preserve">cuando todos quieren seguir el habitual modelo cristiano de alimentación; por consiguiente, las dificultades del abasto en un clima frío y alpino, como Perote, no son los mismos que en Acayucan, que goza de un clima tropical caliente y húmedo.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Es evidente que épocas tan drásticas para la historia nacional, como las guerras de la Independencia (1810-1821) y las múltiples campañas militares de la Revolución, son antes que todo periodos de gran desorganización en el campo; no sólo hay destrucción material, sino que los intercambios de largo alcance tienden a detenerse. Al pasar los años, todo el tejido social agrícola productivo, desde Perote hasta el mar por ejemplo, tiende a  paralizarse no sólo por la presencia y exigencias de las gavillas de insurgentes, sino después con la entrada del grueso del contingente de las nuevas tropas españolas.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Debe recordarse, para entender los cambios provocados por la presencia repentina de varios miles de soldados acostumbrados a ingerir unas buenas raciones de carne, pan, y alcohol, que muchos de estos pequeños espacios agrícolas de antiguo régimen en la región no tienen muchos excedentes ni reservas. Y la llegada más o menos repentina de una tropa de hasta 5 000 hombres tiene un efecto desastroso sobre el equilibrio del abasto de cualquier región, y esto prácticamente en toda la historia humana.</w:t>
      </w:r>
      <w:r w:rsidRPr="00BB1C3C">
        <w:rPr>
          <w:rStyle w:val="Refdenotaalpie"/>
          <w:rFonts w:ascii="Arial" w:hAnsi="Arial" w:cs="Arial"/>
          <w:sz w:val="24"/>
          <w:szCs w:val="24"/>
          <w:lang w:eastAsia="es-MX"/>
        </w:rPr>
        <w:footnoteReference w:id="24"/>
      </w:r>
      <w:r w:rsidRPr="00BB1C3C">
        <w:rPr>
          <w:rFonts w:ascii="Arial" w:hAnsi="Arial" w:cs="Arial"/>
          <w:sz w:val="24"/>
          <w:szCs w:val="24"/>
          <w:lang w:eastAsia="es-MX"/>
        </w:rPr>
        <w:t xml:space="preserve"> Es por eso que, previniendo las concentraciones de tropa en Jalapa o en su región, para oponerse a una supuesta invasión británica, la intendencia militar exige repetidas veces al Ayuntamiento informaciones sobre las reservas alimentarias en la villa y las esperanzas de futuras cosechas.</w:t>
      </w:r>
      <w:r w:rsidRPr="00BB1C3C">
        <w:rPr>
          <w:rStyle w:val="Refdenotaalpie"/>
          <w:rFonts w:ascii="Arial" w:hAnsi="Arial" w:cs="Arial"/>
          <w:sz w:val="24"/>
          <w:szCs w:val="24"/>
          <w:lang w:eastAsia="es-MX"/>
        </w:rPr>
        <w:footnoteReference w:id="25"/>
      </w:r>
      <w:r w:rsidRPr="00BB1C3C">
        <w:rPr>
          <w:rFonts w:ascii="Arial" w:hAnsi="Arial" w:cs="Arial"/>
          <w:sz w:val="24"/>
          <w:szCs w:val="24"/>
          <w:lang w:eastAsia="es-MX"/>
        </w:rPr>
        <w:t xml:space="preserv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lastRenderedPageBreak/>
        <w:t xml:space="preserve">Cuando a lo largo de esos años de guerra, las tropas españoles que persiguen a los insurgentes tienen problemas de abasto, toman todo lo que puede transformarse en alimento, en particular carne, y se come vacas y cerdos; no les importa mucho la reproducción del año siguiente; también incautan los caballos y mulas que son necesarias  para el trabajo agrícola del ciclo siguiente, y aunque no hay grandes batallas en esa región, el simple vaivén de estos movimientos de tropas desestructuraba profundamente lo que era el antiguo sistema de producción e intercambios de la época y por lo tanto el abasto de los productos necesarios para la alimentación de las poblaciones. </w:t>
      </w:r>
    </w:p>
    <w:p w:rsidR="00267F8E" w:rsidRPr="00BB1C3C" w:rsidRDefault="00267F8E" w:rsidP="00267F8E">
      <w:pPr>
        <w:spacing w:after="0" w:line="360" w:lineRule="auto"/>
        <w:contextualSpacing/>
        <w:jc w:val="both"/>
        <w:rPr>
          <w:rFonts w:ascii="Arial" w:hAnsi="Arial" w:cs="Arial"/>
          <w:b/>
          <w:sz w:val="24"/>
          <w:szCs w:val="24"/>
          <w:lang w:eastAsia="es-MX"/>
        </w:rPr>
      </w:pPr>
    </w:p>
    <w:p w:rsidR="00267F8E" w:rsidRPr="00BB1C3C" w:rsidRDefault="00267F8E" w:rsidP="00267F8E">
      <w:pPr>
        <w:spacing w:after="0" w:line="360" w:lineRule="auto"/>
        <w:contextualSpacing/>
        <w:jc w:val="both"/>
        <w:rPr>
          <w:rFonts w:ascii="Arial" w:hAnsi="Arial" w:cs="Arial"/>
          <w:b/>
          <w:sz w:val="24"/>
          <w:szCs w:val="24"/>
          <w:lang w:eastAsia="es-MX"/>
        </w:rPr>
      </w:pPr>
      <w:r w:rsidRPr="00BB1C3C">
        <w:rPr>
          <w:rFonts w:ascii="Arial" w:hAnsi="Arial" w:cs="Arial"/>
          <w:b/>
          <w:sz w:val="24"/>
          <w:szCs w:val="24"/>
          <w:lang w:eastAsia="es-MX"/>
        </w:rPr>
        <w:t>El pan de cada día</w:t>
      </w: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sz w:val="24"/>
          <w:szCs w:val="24"/>
          <w:lang w:eastAsia="es-MX"/>
        </w:rPr>
        <w:t xml:space="preserve">En Jalapa es evidente que, con gavillas o sin ellas, todo el mundo quiere garantizar el consumo del pan cotidiano. Comer pan, y un pan bueno, hecho con harinas de buena calidad, no había sido jamás un problema en Jalapa,  aunque esa región no producía trigo. El mejor trigo producido en Nueva España, decían los testigos de la época, procedía de Atlixco, cosechado en el valle poblano, al pie de los volcanes. Durante dos siglos, los 150 kilómetros que separan el lugar de producción y su consumo en la villa no fueron un verdadero problema, ya que existía entre Puebla-Atlixco y el Caribe una especie de “ducto de cereales”, que alimentaba con inmensas recuas de mulas, un flujo continuo de trigo que iba para Cuba, o para Cartagena de Indias, y todos los lugares tropicales donde residían grupos de españoles.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Y Jalapa pudo así obtener con relativa facilidad el trigo consumido por sus habitantes. No obstante, de manera repentina, con las gavillas en los cami</w:t>
      </w:r>
      <w:r>
        <w:rPr>
          <w:rFonts w:ascii="Arial" w:hAnsi="Arial" w:cs="Arial"/>
          <w:sz w:val="24"/>
          <w:szCs w:val="24"/>
          <w:lang w:eastAsia="es-MX"/>
        </w:rPr>
        <w:t xml:space="preserve">nos y en la región productora, </w:t>
      </w:r>
      <w:r w:rsidRPr="00BB1C3C">
        <w:rPr>
          <w:rFonts w:ascii="Arial" w:hAnsi="Arial" w:cs="Arial"/>
          <w:sz w:val="24"/>
          <w:szCs w:val="24"/>
          <w:lang w:eastAsia="es-MX"/>
        </w:rPr>
        <w:t>em</w:t>
      </w:r>
      <w:r>
        <w:rPr>
          <w:rFonts w:ascii="Arial" w:hAnsi="Arial" w:cs="Arial"/>
          <w:sz w:val="24"/>
          <w:szCs w:val="24"/>
          <w:lang w:eastAsia="es-MX"/>
        </w:rPr>
        <w:t>pieza a</w:t>
      </w:r>
      <w:r w:rsidRPr="00BB1C3C">
        <w:rPr>
          <w:rFonts w:ascii="Arial" w:hAnsi="Arial" w:cs="Arial"/>
          <w:sz w:val="24"/>
          <w:szCs w:val="24"/>
          <w:lang w:eastAsia="es-MX"/>
        </w:rPr>
        <w:t xml:space="preserve"> disminuir este suministro y el abasto se di</w:t>
      </w:r>
      <w:r>
        <w:rPr>
          <w:rFonts w:ascii="Arial" w:hAnsi="Arial" w:cs="Arial"/>
          <w:sz w:val="24"/>
          <w:szCs w:val="24"/>
          <w:lang w:eastAsia="es-MX"/>
        </w:rPr>
        <w:t>ficulta. Los precios muestran a</w:t>
      </w:r>
      <w:r w:rsidRPr="00BB1C3C">
        <w:rPr>
          <w:rFonts w:ascii="Arial" w:hAnsi="Arial" w:cs="Arial"/>
          <w:sz w:val="24"/>
          <w:szCs w:val="24"/>
          <w:lang w:eastAsia="es-MX"/>
        </w:rPr>
        <w:t xml:space="preserve"> tendencia a crecer, aunque siguen bastante controlados, pero sobre todo es la calidad la que queda en entredicho. Por ejemplo, había trigo producido también en la región de Perote, más cercano, pero éste tenía la fama de no ser tan rico como el de Atlixco y el Ayuntamiento de Jalapa había prohibido por </w:t>
      </w:r>
      <w:r w:rsidRPr="00BB1C3C">
        <w:rPr>
          <w:rFonts w:ascii="Arial" w:hAnsi="Arial" w:cs="Arial"/>
          <w:sz w:val="24"/>
          <w:szCs w:val="24"/>
          <w:lang w:eastAsia="es-MX"/>
        </w:rPr>
        <w:lastRenderedPageBreak/>
        <w:t xml:space="preserve">mucho tiempo su entrada o su mezcla con el de Atlixco.  Pero con las dificultades del abasto es muy probable que no sólo se levantara esa restricción, sino que se volvía ese trigo, antes despreciado, una fuente de abasto más segura, y que los panaderos utilizaran todo el trigo que se encontrara a su alcance, cualquiera que fuera su procedencia.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Así, si el consumo de pan no se redujo drásticamente, sí es posible pensar de manera razonable que la calidad global de dicho pan empezó a descender a partir de 1812. También es evidente que allá abajo en el lejano Caribe, y en Tabasco, la llegada del trigo novohispano se volvió más aleatoria, aunque ya empieza a aparecer un nuevo proveedor, Estados Unidos, que ya había estado introduciendo trigo desde hacía algunos años en esa región a  través de Nueva Orleans.</w:t>
      </w:r>
      <w:r w:rsidRPr="00BB1C3C">
        <w:rPr>
          <w:rStyle w:val="Refdenotaalpie"/>
          <w:rFonts w:ascii="Arial" w:hAnsi="Arial" w:cs="Arial"/>
          <w:sz w:val="24"/>
          <w:szCs w:val="24"/>
          <w:lang w:eastAsia="es-MX"/>
        </w:rPr>
        <w:footnoteReference w:id="26"/>
      </w:r>
    </w:p>
    <w:p w:rsidR="00267F8E" w:rsidRPr="00BB1C3C" w:rsidRDefault="00267F8E" w:rsidP="00267F8E">
      <w:pPr>
        <w:spacing w:after="0" w:line="360" w:lineRule="auto"/>
        <w:contextualSpacing/>
        <w:jc w:val="both"/>
        <w:rPr>
          <w:rFonts w:ascii="Arial" w:hAnsi="Arial" w:cs="Arial"/>
          <w:b/>
          <w:sz w:val="24"/>
          <w:szCs w:val="24"/>
          <w:lang w:eastAsia="es-MX"/>
        </w:rPr>
      </w:pPr>
    </w:p>
    <w:p w:rsidR="00267F8E" w:rsidRPr="00BB1C3C" w:rsidRDefault="00267F8E" w:rsidP="00267F8E">
      <w:pPr>
        <w:spacing w:after="0" w:line="360" w:lineRule="auto"/>
        <w:contextualSpacing/>
        <w:jc w:val="both"/>
        <w:rPr>
          <w:rFonts w:ascii="Arial" w:hAnsi="Arial" w:cs="Arial"/>
          <w:b/>
          <w:sz w:val="24"/>
          <w:szCs w:val="24"/>
          <w:lang w:eastAsia="es-MX"/>
        </w:rPr>
      </w:pPr>
      <w:r w:rsidRPr="00BB1C3C">
        <w:rPr>
          <w:rFonts w:ascii="Arial" w:hAnsi="Arial" w:cs="Arial"/>
          <w:b/>
          <w:sz w:val="24"/>
          <w:szCs w:val="24"/>
          <w:lang w:eastAsia="es-MX"/>
        </w:rPr>
        <w:t>El maíz como último recurso</w:t>
      </w:r>
    </w:p>
    <w:p w:rsidR="00267F8E" w:rsidRPr="00BB1C3C" w:rsidRDefault="00267F8E" w:rsidP="00267F8E">
      <w:pPr>
        <w:spacing w:after="0" w:line="360" w:lineRule="auto"/>
        <w:contextualSpacing/>
        <w:jc w:val="both"/>
        <w:rPr>
          <w:rFonts w:ascii="Arial" w:hAnsi="Arial" w:cs="Arial"/>
          <w:sz w:val="24"/>
          <w:szCs w:val="24"/>
          <w:lang w:eastAsia="es-MX"/>
        </w:rPr>
      </w:pPr>
      <w:r>
        <w:rPr>
          <w:rFonts w:ascii="Arial" w:hAnsi="Arial" w:cs="Arial"/>
          <w:sz w:val="24"/>
          <w:szCs w:val="24"/>
          <w:lang w:eastAsia="es-MX"/>
        </w:rPr>
        <w:t xml:space="preserve">Cuando se intenta caracterizar </w:t>
      </w:r>
      <w:r w:rsidRPr="00BB1C3C">
        <w:rPr>
          <w:rFonts w:ascii="Arial" w:hAnsi="Arial" w:cs="Arial"/>
          <w:sz w:val="24"/>
          <w:szCs w:val="24"/>
          <w:lang w:eastAsia="es-MX"/>
        </w:rPr>
        <w:t xml:space="preserve">como tipo  hispano o cristiano al régimen ideal dominante de alimentación en esos años en la región, no es posible pretender que absolutamente todos los habitantes de la villa de Jalapa, o de otras villas, podían integrar siempre ese modo de alimentarse en su cotidianidad.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Se puede pensar que una parte de la población, al parecer muy reducida, no lograba ajustarse siempre a las cantidades observadas en ese modelo de consumo. En los casos de maridos alcohólicos, enfermos, accidentados, baldados, o imposibilitados o negados a trabajar, el abasto de su familia se alteraba, más aún si el jefe de familia era una mujer sola que debía asegurar la sobrevivencia de un grupo de infantes y allegados.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Sin embargo, en general, el sistema parroquial permitía más o menos que existiera compensación social y una solidaridad efectiva contra estos accidentes. Por otra parte, el acceso al maíz era prácticamente ilimitado por su precio muy reducido; lo que temía la gente no era tanto la pobreza sino la pérdida de su honor. Porque el honor tenía un gran papel en la vida cotidiana hasta en los </w:t>
      </w:r>
      <w:r w:rsidRPr="00BB1C3C">
        <w:rPr>
          <w:rFonts w:ascii="Arial" w:hAnsi="Arial" w:cs="Arial"/>
          <w:sz w:val="24"/>
          <w:szCs w:val="24"/>
          <w:lang w:eastAsia="es-MX"/>
        </w:rPr>
        <w:lastRenderedPageBreak/>
        <w:t xml:space="preserve">grupos sociales menos favorecidos. El honor era un capital social individual y familiar muy importante. En el Archivo Parroquial </w:t>
      </w:r>
      <w:r>
        <w:rPr>
          <w:rFonts w:ascii="Arial" w:hAnsi="Arial" w:cs="Arial"/>
          <w:sz w:val="24"/>
          <w:szCs w:val="24"/>
          <w:lang w:eastAsia="es-MX"/>
        </w:rPr>
        <w:t xml:space="preserve">se pueden encontrar documentos provenientes del juzgado </w:t>
      </w:r>
      <w:r w:rsidRPr="00BB1C3C">
        <w:rPr>
          <w:rFonts w:ascii="Arial" w:hAnsi="Arial" w:cs="Arial"/>
          <w:sz w:val="24"/>
          <w:szCs w:val="24"/>
          <w:lang w:eastAsia="es-MX"/>
        </w:rPr>
        <w:t>eclesiástico en los que una mujer  “no tiene nada” porque el marido es uno de estos señores muy especiales que se gastan todo el dinero bebiendo e incluso gastando la paga de sus hijos menores; esa desgraciada señora declara  tener sólo una falda y esto para ella tiene graves consecuencias, ya que “No puede salir a aquella misa”, la misa más solemne y concurrida, para no “parecer”  pobre.  Y más grave aún, que es</w:t>
      </w:r>
      <w:r>
        <w:rPr>
          <w:rFonts w:ascii="Arial" w:hAnsi="Arial" w:cs="Arial"/>
          <w:sz w:val="24"/>
          <w:szCs w:val="24"/>
          <w:lang w:eastAsia="es-MX"/>
        </w:rPr>
        <w:t>e estado de pobreza la obliga a</w:t>
      </w:r>
      <w:r w:rsidRPr="00BB1C3C">
        <w:rPr>
          <w:rFonts w:ascii="Arial" w:hAnsi="Arial" w:cs="Arial"/>
          <w:sz w:val="24"/>
          <w:szCs w:val="24"/>
          <w:lang w:eastAsia="es-MX"/>
        </w:rPr>
        <w:t xml:space="preserve"> comprar y “comer tortillas”, ella y su familia. Casada con “un español”, aunque alcohólico, ella siente que en verdad decaerá si se queda en ese estado de “pobreza”, que se traduce, según sus propios términos, en la incapacidad de comprar pan y carnes para la cena, y por eso pide al juez eclesiástico su intervención para hacer entrar en razón a su esposo.</w:t>
      </w:r>
      <w:r w:rsidRPr="00BB1C3C">
        <w:rPr>
          <w:rStyle w:val="Refdenotaalpie"/>
          <w:rFonts w:ascii="Arial" w:hAnsi="Arial" w:cs="Arial"/>
          <w:sz w:val="24"/>
          <w:szCs w:val="24"/>
          <w:lang w:eastAsia="es-MX"/>
        </w:rPr>
        <w:footnoteReference w:id="27"/>
      </w:r>
    </w:p>
    <w:p w:rsidR="00267F8E" w:rsidRPr="00BB1C3C" w:rsidRDefault="00267F8E" w:rsidP="00267F8E">
      <w:pPr>
        <w:spacing w:after="0" w:line="360" w:lineRule="auto"/>
        <w:contextualSpacing/>
        <w:jc w:val="both"/>
        <w:rPr>
          <w:rFonts w:ascii="Arial" w:hAnsi="Arial" w:cs="Arial"/>
          <w:b/>
          <w:sz w:val="24"/>
          <w:szCs w:val="24"/>
          <w:lang w:eastAsia="es-MX"/>
        </w:rPr>
      </w:pPr>
    </w:p>
    <w:p w:rsidR="00267F8E" w:rsidRPr="00BB1C3C" w:rsidRDefault="00267F8E" w:rsidP="00267F8E">
      <w:pPr>
        <w:spacing w:after="0" w:line="360" w:lineRule="auto"/>
        <w:contextualSpacing/>
        <w:jc w:val="both"/>
        <w:rPr>
          <w:rFonts w:ascii="Arial" w:hAnsi="Arial" w:cs="Arial"/>
          <w:b/>
          <w:sz w:val="24"/>
          <w:szCs w:val="24"/>
          <w:lang w:eastAsia="es-MX"/>
        </w:rPr>
      </w:pPr>
      <w:r w:rsidRPr="00BB1C3C">
        <w:rPr>
          <w:rFonts w:ascii="Arial" w:hAnsi="Arial" w:cs="Arial"/>
          <w:b/>
          <w:sz w:val="24"/>
          <w:szCs w:val="24"/>
          <w:lang w:eastAsia="es-MX"/>
        </w:rPr>
        <w:t>Un abasto estable y sin sobresalto</w:t>
      </w: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sz w:val="24"/>
          <w:szCs w:val="24"/>
          <w:lang w:eastAsia="es-MX"/>
        </w:rPr>
        <w:t xml:space="preserve">En los 15 años que preceden al grito de Hidalgo, esa villa no sufre ningún problema de abasto de harina de trigo. En cuanto al pan, se pueden ver en los documentos dejados por el ayuntamiento unas escasas quejas, presentadas como “una queja de lo popular”, una queja sobre “el mal pan”.  ¿Quiere decir que todo el pan producido es malo o que sólo algún panadero poco cuidadoso produce un pan que se puede calificar de malo? Ese posible “mal pan” parece en contradicción con la naturaleza de las harinas que se presentan en la aduana. Los introductores de harina en la aduana declaran en general harina fina. Si bien existen declaraciones de harinas, de primera la mayoría y de segunda, se puede pensar que algunos de estos comerciantes declaran como de segunda la harina de primera, con objeto de pagar aranceles menores, pero no al contrario, pagando mucho para introducir harinas de ínfima calidad.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lastRenderedPageBreak/>
        <w:t>Se fabricaban con esta harina de calidad los dos panes mejores de la época, el pan francés y el pan blanco, y cuyos precios eran casi idénticos, sólo variaban de una a dos onzas la cantidad de pan entregado por el mismo precio. Y si se produce algo de pan cemita, menos de 20% del total, es porque hay que utilizar los restos del cernido de la harina, aunque sea con “paja y todo”, como dicen los contemporáneos. Saber si ese pan era realmente el pan  de los pobres queda por estudiarse, ya que se puede utilizar de manera preferente en ciertos  tipos de recetas.</w:t>
      </w:r>
      <w:r w:rsidRPr="00BB1C3C">
        <w:rPr>
          <w:rStyle w:val="Refdenotaalpie"/>
          <w:rFonts w:ascii="Arial" w:hAnsi="Arial" w:cs="Arial"/>
          <w:sz w:val="24"/>
          <w:szCs w:val="24"/>
          <w:lang w:eastAsia="es-MX"/>
        </w:rPr>
        <w:footnoteReference w:id="28"/>
      </w:r>
      <w:r w:rsidRPr="00BB1C3C">
        <w:rPr>
          <w:rFonts w:ascii="Arial" w:hAnsi="Arial" w:cs="Arial"/>
          <w:sz w:val="24"/>
          <w:szCs w:val="24"/>
          <w:lang w:eastAsia="es-MX"/>
        </w:rPr>
        <w:t xml:space="preserv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En la actualidad, una gran proporción de la población compra pan integral, algún pan “</w:t>
      </w:r>
      <w:proofErr w:type="spellStart"/>
      <w:r w:rsidRPr="00BB1C3C">
        <w:rPr>
          <w:rFonts w:ascii="Arial" w:hAnsi="Arial" w:cs="Arial"/>
          <w:sz w:val="24"/>
          <w:szCs w:val="24"/>
          <w:lang w:eastAsia="es-MX"/>
        </w:rPr>
        <w:t>bio</w:t>
      </w:r>
      <w:proofErr w:type="spellEnd"/>
      <w:r w:rsidRPr="00BB1C3C">
        <w:rPr>
          <w:rFonts w:ascii="Arial" w:hAnsi="Arial" w:cs="Arial"/>
          <w:sz w:val="24"/>
          <w:szCs w:val="24"/>
          <w:lang w:eastAsia="es-MX"/>
        </w:rPr>
        <w:t xml:space="preserve">” o de varios cereales; éstos son más oscuros porque contienen una gran proporción de salvado. Se han redescubierto las cualidades nutritivas y gustativas de estos panes rústicos, pero en esta época la gente no lo busca particularmente para nutrirse mejor: la comida es antes que </w:t>
      </w:r>
      <w:proofErr w:type="gramStart"/>
      <w:r w:rsidRPr="00BB1C3C">
        <w:rPr>
          <w:rFonts w:ascii="Arial" w:hAnsi="Arial" w:cs="Arial"/>
          <w:sz w:val="24"/>
          <w:szCs w:val="24"/>
          <w:lang w:eastAsia="es-MX"/>
        </w:rPr>
        <w:t>todo</w:t>
      </w:r>
      <w:proofErr w:type="gramEnd"/>
      <w:r w:rsidRPr="00BB1C3C">
        <w:rPr>
          <w:rFonts w:ascii="Arial" w:hAnsi="Arial" w:cs="Arial"/>
          <w:sz w:val="24"/>
          <w:szCs w:val="24"/>
          <w:lang w:eastAsia="es-MX"/>
        </w:rPr>
        <w:t xml:space="preserve"> una </w:t>
      </w:r>
      <w:r w:rsidRPr="00BB1C3C">
        <w:rPr>
          <w:rFonts w:ascii="Arial" w:hAnsi="Arial" w:cs="Arial"/>
          <w:i/>
          <w:sz w:val="24"/>
          <w:szCs w:val="24"/>
          <w:lang w:eastAsia="es-MX"/>
        </w:rPr>
        <w:t xml:space="preserve">estética, </w:t>
      </w:r>
      <w:r w:rsidRPr="00BB1C3C">
        <w:rPr>
          <w:rFonts w:ascii="Arial" w:hAnsi="Arial" w:cs="Arial"/>
          <w:sz w:val="24"/>
          <w:szCs w:val="24"/>
          <w:lang w:eastAsia="es-MX"/>
        </w:rPr>
        <w:t>una participación de</w:t>
      </w:r>
      <w:r w:rsidRPr="00BB1C3C">
        <w:rPr>
          <w:rFonts w:ascii="Arial" w:hAnsi="Arial" w:cs="Arial"/>
          <w:i/>
          <w:sz w:val="24"/>
          <w:szCs w:val="24"/>
          <w:lang w:eastAsia="es-MX"/>
        </w:rPr>
        <w:t xml:space="preserve"> </w:t>
      </w:r>
      <w:r w:rsidRPr="00BB1C3C">
        <w:rPr>
          <w:rFonts w:ascii="Arial" w:hAnsi="Arial" w:cs="Arial"/>
          <w:sz w:val="24"/>
          <w:szCs w:val="24"/>
          <w:lang w:eastAsia="es-MX"/>
        </w:rPr>
        <w:t xml:space="preserve">una identidad. Se podría también sugerir que el “pan de ayer” fuera el pan de los pobres, pero ése no se vendía más barato. Muchas veces, los campesinos compraban pan del día anterior o incluso de dos días, y no porque fuera más barato; era más bien un problema de gusto o estética. Porque durante siglos, la gente que vivía </w:t>
      </w:r>
      <w:r>
        <w:rPr>
          <w:rFonts w:ascii="Arial" w:hAnsi="Arial" w:cs="Arial"/>
          <w:sz w:val="24"/>
          <w:szCs w:val="24"/>
          <w:lang w:eastAsia="es-MX"/>
        </w:rPr>
        <w:t xml:space="preserve">fuera de los núcleos centrales </w:t>
      </w:r>
      <w:r w:rsidRPr="00BB1C3C">
        <w:rPr>
          <w:rFonts w:ascii="Arial" w:hAnsi="Arial" w:cs="Arial"/>
          <w:sz w:val="24"/>
          <w:szCs w:val="24"/>
          <w:lang w:eastAsia="es-MX"/>
        </w:rPr>
        <w:t>de las poblaciones donde se hacía el pan elaboraba su propio pan, pero  no buscaba pan caliente cada día, sino que se proveía de pan para varios días, acostumbrándose así  al sabor y textura del “pan frío”. Y también porque tal vez es menos acentuada la sensación de plenitud respecto de la producida por la ingestión del pan caliente.</w:t>
      </w:r>
      <w:r w:rsidRPr="00BB1C3C">
        <w:rPr>
          <w:rFonts w:ascii="Arial" w:hAnsi="Arial" w:cs="Arial"/>
          <w:b/>
          <w:sz w:val="24"/>
          <w:szCs w:val="24"/>
          <w:lang w:eastAsia="es-MX"/>
        </w:rPr>
        <w:t xml:space="preserv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No obstante, ¿cómo explicar ese posible pan malo en este sistema tan controlado de panes blancos exquisitos y además muy identificables, porque cada pan porta la marca del panader</w:t>
      </w:r>
      <w:r>
        <w:rPr>
          <w:rFonts w:ascii="Arial" w:hAnsi="Arial" w:cs="Arial"/>
          <w:sz w:val="24"/>
          <w:szCs w:val="24"/>
          <w:lang w:eastAsia="es-MX"/>
        </w:rPr>
        <w:t>o</w:t>
      </w:r>
      <w:r w:rsidRPr="00BB1C3C">
        <w:rPr>
          <w:rFonts w:ascii="Arial" w:hAnsi="Arial" w:cs="Arial"/>
          <w:sz w:val="24"/>
          <w:szCs w:val="24"/>
          <w:lang w:eastAsia="es-MX"/>
        </w:rPr>
        <w:t xml:space="preserve"> que lo produjo? Pero más aún ¿por qué ese o </w:t>
      </w:r>
      <w:r w:rsidRPr="00BB1C3C">
        <w:rPr>
          <w:rFonts w:ascii="Arial" w:hAnsi="Arial" w:cs="Arial"/>
          <w:sz w:val="24"/>
          <w:szCs w:val="24"/>
          <w:lang w:eastAsia="es-MX"/>
        </w:rPr>
        <w:lastRenderedPageBreak/>
        <w:t xml:space="preserve">esos  panaderos van a seguir haciendo pan de mala calidad? ¿Qué interés tendrán si pan bueno y malo tienen el mismo precio? La explicación es que se trata de un comerciante importante que posee, entre otros muchos negocios, una panadería de importancia. A pesar de tener muy bien identificados los panes malos, el veedor del ayuntamiento no pronuncia jamás su nombre, y sabe que ese personaje está encima de sus amonestaciones, ya varias veces hechas, y de las multas, que no pagará. Un poco más tarde se denunciará, esa vez nominalmente en el Ayuntamiento, a uno de estos grandes comerciantes (por “casualidad” el que tiene una panadería) de intentar transportar y vender a Veracruz la enorme cantidad de “20 000 cargas de harina enmohecida”.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Se puede entender que ocurran algunos accidentes en el transporte de las harinas en los caminos, y que unas cargas enmohecidas confieran un sabor desagradable al pan elaborado con ellas, pero no se ha resuelto el problema del por qué no deja de hacerse ese tipo de pan malo. Se elabora porque se vende o, lo que es lo mismo, un pequeño sector de la población de la villa lo sigue comprando y si lo hace es porque no puede hacerlo en otras panaderías por limitaciones extraeconómicas. Para entenderlo es preciso regresar a pensar la idea de mercado en esa época. ¿Cómo compra la gente su pan? No existen  monedas fraccionarías en esos años. Las pequeñas son de plata pequeña, no hay casi nada de cobre, y por eso la gran reforma monetaria del XIX intentará introducir piezas de cobre para agilizar justamente ese capitalismo en los gestos cotidianos que está en gestación. Por ello la gente tiene que pedir fiado, aunque a todos no se fía por igual; los pobres de solemnidad, es decir, pobres honestos y con honor intacto, pueden encontrar un panadero o un revendedor en una pulpería que les fiará. Pero los de reputación dudosa, los bien conocidos por no pagar a tiempo sus deudas o siempre en falta de dinero por su adicción a la bebida, no encuentran con facilidad quién les dé pan fiado. Por lo tanto, son llevados siempre a comprar en la misma panadería, ese pan hecho con harinas de dudosa procedencia. Ése es probablemente el verdadero pan de los pobres.  Aquí reaparece esta idea del honor en los lugares más humildes de la sociedad; es muy importante porque esa fama pública es su carta de visita frente al mercado, frente </w:t>
      </w:r>
      <w:r w:rsidRPr="00BB1C3C">
        <w:rPr>
          <w:rFonts w:ascii="Arial" w:hAnsi="Arial" w:cs="Arial"/>
          <w:sz w:val="24"/>
          <w:szCs w:val="24"/>
          <w:lang w:eastAsia="es-MX"/>
        </w:rPr>
        <w:lastRenderedPageBreak/>
        <w:t>a la posibilidad de que le dieran crédito y de tener así la posibilidad de pagar</w:t>
      </w:r>
      <w:r>
        <w:rPr>
          <w:rFonts w:ascii="Arial" w:hAnsi="Arial" w:cs="Arial"/>
          <w:sz w:val="24"/>
          <w:szCs w:val="24"/>
          <w:lang w:eastAsia="es-MX"/>
        </w:rPr>
        <w:t xml:space="preserve"> en quince días o cada semana, </w:t>
      </w:r>
      <w:r w:rsidRPr="00BB1C3C">
        <w:rPr>
          <w:rFonts w:ascii="Arial" w:hAnsi="Arial" w:cs="Arial"/>
          <w:sz w:val="24"/>
          <w:szCs w:val="24"/>
          <w:lang w:eastAsia="es-MX"/>
        </w:rPr>
        <w:t xml:space="preserve">cuando recibía su salario.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El pan es ante todo una participación en una cultura, en una identidad, pero se reintroduce un consumo diferenciado porque evidentemente esta participación de todos en la cultura del pan hace que la gente de mayor poder adquisitivo diga: “¡Cómo nos vamos a comer el pan de todos!” Por ello se erige “una panadería de privilegio”, cuyo privilegio consiste en vender el mismo pan pero más caro. Evidentemente, escogen al señor Gomilla que es un panadero mediano, que había producido buen pan durante toda su vida. El reconocimiento de la panadería de privilegio tiene por objetivo no obtener un hipotético pan de notable calidad, sino reintroducir en un consumo general la marca de diferenciación social. Es un elemento de análisis que se olvida muchas veces en los estudios sobre la alimentación, el de observar en prácticas generalizadas de consumo todas las marcas de diferenciación social que pueden estar en juego.</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De esa forma se logró calcular la cantidad de consumo de pan cotidiano en esa época. Si el responsable del abasto del ejército manda pedir al ayuntamiento suficiente pan y carnes es que -no debe olvidarse- un buen soldado es eficaz sólo si puede comer 600 g de pan y por lo menos media libra de carne.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Como respuesta a este pedido de la oficialidad militar, se encontró un documento que detallaba la cantidad de pan que cada panadero producía y fue posible calcular la cantidad de pan cotidiano disponible para cada habitante, es decir, entre 350 y 400 g, aproximadamente seis o siete bolillos o dos baguetes actuales.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Sin duda, algunos comían más que otros, pero asimismo los modelos corporales han variado desde esa época; para ser “galanes” era necesario ser más bien redondo. La gordura estaba de moda.</w:t>
      </w:r>
      <w:r w:rsidRPr="00BB1C3C">
        <w:rPr>
          <w:rStyle w:val="Refdenotaalpie"/>
          <w:rFonts w:ascii="Arial" w:hAnsi="Arial" w:cs="Arial"/>
          <w:sz w:val="24"/>
          <w:szCs w:val="24"/>
          <w:lang w:eastAsia="es-MX"/>
        </w:rPr>
        <w:footnoteReference w:id="29"/>
      </w:r>
      <w:r w:rsidRPr="00BB1C3C">
        <w:rPr>
          <w:rFonts w:ascii="Arial" w:hAnsi="Arial" w:cs="Arial"/>
          <w:sz w:val="24"/>
          <w:szCs w:val="24"/>
          <w:lang w:eastAsia="es-MX"/>
        </w:rPr>
        <w:t xml:space="preserve"> El modelo de comer mucho acarreaba muchos problemas, como gota, enfermedades cardiovasculares, diabetes, etc., pero ese era otro problema distinto. La gula era un pecado capital, </w:t>
      </w:r>
      <w:r w:rsidRPr="00BB1C3C">
        <w:rPr>
          <w:rFonts w:ascii="Arial" w:hAnsi="Arial" w:cs="Arial"/>
          <w:sz w:val="24"/>
          <w:szCs w:val="24"/>
          <w:lang w:eastAsia="es-MX"/>
        </w:rPr>
        <w:lastRenderedPageBreak/>
        <w:t>pero muy compartido por la gente de iglesia, aunque aparentemente no vivían  para estar en la tierra, sino que estaban solo de paso, pero finalmente consideraban que en ese tránsito no había que pasarla tan mal.</w:t>
      </w:r>
      <w:r w:rsidRPr="00BB1C3C">
        <w:rPr>
          <w:rStyle w:val="Refdenotaalpie"/>
          <w:rFonts w:ascii="Arial" w:hAnsi="Arial" w:cs="Arial"/>
          <w:sz w:val="24"/>
          <w:szCs w:val="24"/>
          <w:lang w:eastAsia="es-MX"/>
        </w:rPr>
        <w:footnoteReference w:id="30"/>
      </w:r>
      <w:r w:rsidRPr="00BB1C3C">
        <w:rPr>
          <w:rFonts w:ascii="Arial" w:hAnsi="Arial" w:cs="Arial"/>
          <w:sz w:val="24"/>
          <w:szCs w:val="24"/>
          <w:lang w:eastAsia="es-MX"/>
        </w:rPr>
        <w:t xml:space="preserve"> El vulgo cristiano gozaba sin mucho remordimiento de los alimentos que Dios había puesto a su alcance.</w:t>
      </w:r>
    </w:p>
    <w:p w:rsidR="00267F8E" w:rsidRPr="00BB1C3C" w:rsidRDefault="00267F8E" w:rsidP="00267F8E">
      <w:pPr>
        <w:spacing w:after="0" w:line="360" w:lineRule="auto"/>
        <w:contextualSpacing/>
        <w:jc w:val="both"/>
        <w:rPr>
          <w:rFonts w:ascii="Arial" w:hAnsi="Arial" w:cs="Arial"/>
          <w:b/>
          <w:sz w:val="24"/>
          <w:szCs w:val="24"/>
          <w:lang w:eastAsia="es-MX"/>
        </w:rPr>
      </w:pPr>
    </w:p>
    <w:p w:rsidR="00267F8E" w:rsidRPr="00BB1C3C" w:rsidRDefault="00267F8E" w:rsidP="00267F8E">
      <w:pPr>
        <w:spacing w:after="0" w:line="360" w:lineRule="auto"/>
        <w:contextualSpacing/>
        <w:jc w:val="both"/>
        <w:rPr>
          <w:rFonts w:ascii="Arial" w:hAnsi="Arial" w:cs="Arial"/>
          <w:b/>
          <w:sz w:val="24"/>
          <w:szCs w:val="24"/>
          <w:lang w:eastAsia="es-MX"/>
        </w:rPr>
      </w:pPr>
      <w:r w:rsidRPr="00BB1C3C">
        <w:rPr>
          <w:rFonts w:ascii="Arial" w:hAnsi="Arial" w:cs="Arial"/>
          <w:b/>
          <w:sz w:val="24"/>
          <w:szCs w:val="24"/>
          <w:lang w:eastAsia="es-MX"/>
        </w:rPr>
        <w:t xml:space="preserve">Un diluvio de carnes </w:t>
      </w: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sz w:val="24"/>
          <w:szCs w:val="24"/>
          <w:lang w:eastAsia="es-MX"/>
        </w:rPr>
        <w:t>¿Cómo funcionaba el abasto de carnes en un gran número de villas y ciudades de la Nueva España? Para garantizar un abasto regular y a precios fijos se necesitaba un abastecedor oficial que gozara del privilegio de ser el único introductor de carne de res y borregos. Éste era nombrado oficialmente después de una almoneda pública a la cual todos podían participar, en particular los que tenían las posibilidades económicas y las relaciones sociales suficientes porque el candidato debía presentar, junto con sus ofertas de precio de las carnes, el respaldo de un fiador. El abastecedor se comprometía por un año o dos a introducir a un precio convenido fijo las diferentes carnes, sin poder aducir sequía o problemas climáticos o sociales.</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Si bien es posible constatar en esa época un enorme consumo de carne cotidiana paralelo al del pan, ese consumo estaba marcado por antiguos prejuicios occidentales. Por ejemplo, se consideraba que la carne de res era para el vulgo, dado que era una carne muy roja apropiada  para la gente trabaj</w:t>
      </w:r>
      <w:r>
        <w:rPr>
          <w:rFonts w:ascii="Arial" w:hAnsi="Arial" w:cs="Arial"/>
          <w:sz w:val="24"/>
          <w:szCs w:val="24"/>
          <w:lang w:eastAsia="es-MX"/>
        </w:rPr>
        <w:t xml:space="preserve">adora. La élite prefería comer </w:t>
      </w:r>
      <w:r w:rsidRPr="00BB1C3C">
        <w:rPr>
          <w:rFonts w:ascii="Arial" w:hAnsi="Arial" w:cs="Arial"/>
          <w:sz w:val="24"/>
          <w:szCs w:val="24"/>
          <w:lang w:eastAsia="es-MX"/>
        </w:rPr>
        <w:t>carne de borrego, carne blanca si el animal se había sacrifico bajo las reglas, aunque era un alimento dos veces más caro.</w:t>
      </w:r>
      <w:r w:rsidRPr="00BB1C3C">
        <w:rPr>
          <w:rStyle w:val="Refdenotaalpie"/>
          <w:rFonts w:ascii="Arial" w:hAnsi="Arial" w:cs="Arial"/>
          <w:sz w:val="24"/>
          <w:szCs w:val="24"/>
          <w:lang w:eastAsia="es-MX"/>
        </w:rPr>
        <w:footnoteReference w:id="31"/>
      </w:r>
      <w:r w:rsidRPr="00BB1C3C">
        <w:rPr>
          <w:rFonts w:ascii="Arial" w:hAnsi="Arial" w:cs="Arial"/>
          <w:sz w:val="24"/>
          <w:szCs w:val="24"/>
          <w:lang w:eastAsia="es-MX"/>
        </w:rPr>
        <w:t xml:space="preserve"> Su abasto tenía siempre algo de problemático, ya que ese borrego  no se criaba alrededor de Jalapa. Si bien existían unos pequeños hatos  alrededor de Perote, no se criaba en las tierras medianas y bajas de Veracruz por  la hierba de Solimán y afecciones en las </w:t>
      </w:r>
      <w:r w:rsidRPr="00BB1C3C">
        <w:rPr>
          <w:rFonts w:ascii="Arial" w:hAnsi="Arial" w:cs="Arial"/>
          <w:sz w:val="24"/>
          <w:szCs w:val="24"/>
          <w:lang w:eastAsia="es-MX"/>
        </w:rPr>
        <w:lastRenderedPageBreak/>
        <w:t xml:space="preserve">pezuñas. Así,  en todas las villas y ciudades de Veracruz y Tabasco, si las élites querían seguir comiendo su carne preferida, debía conseguirse en el Altiplano, en  Querétaro y aún más lejos. Se puede entender fácilmente cómo ese suministro de borrego fue afectado en grado profundo por lo eventos militares. Y paulatinamente provocarán un cambio en su importancia en la  dieta de la élite.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En el consumo de la carne de res puede suponerse que los más ricos o sus sirvientes se apoderaban de los mejores trozos,</w:t>
      </w:r>
      <w:r w:rsidRPr="00BB1C3C">
        <w:rPr>
          <w:rStyle w:val="Refdenotaalpie"/>
          <w:rFonts w:ascii="Arial" w:hAnsi="Arial" w:cs="Arial"/>
          <w:sz w:val="24"/>
          <w:szCs w:val="24"/>
          <w:lang w:eastAsia="es-MX"/>
        </w:rPr>
        <w:footnoteReference w:id="32"/>
      </w:r>
      <w:r w:rsidRPr="00BB1C3C">
        <w:rPr>
          <w:rFonts w:ascii="Arial" w:hAnsi="Arial" w:cs="Arial"/>
          <w:sz w:val="24"/>
          <w:szCs w:val="24"/>
          <w:lang w:eastAsia="es-MX"/>
        </w:rPr>
        <w:t xml:space="preserve"> aunque  la carne se expendía entonces a hachazos y, como era barata, se compraban, generalmente, trozos grandes de varias libras, con huesos, nervios y grasa. Es posible pensar que era una carne dura porque se acababa de matar al animal; recuérdese que la carne de un animal recién sacrificado siempre es dura, razón por la cual durante siglos se multiplicaban para un mismo trozo de carne los tipos de cocido. Por ejemplo, antes de cocer una pieza asada al espetón se hervía primero, sin olvidar que con la adición de elementos muy ácidos se producía a su vez una “cocida” química.</w:t>
      </w:r>
      <w:r w:rsidRPr="00BB1C3C">
        <w:rPr>
          <w:rStyle w:val="Refdenotaalpie"/>
          <w:rFonts w:ascii="Arial" w:hAnsi="Arial" w:cs="Arial"/>
          <w:sz w:val="24"/>
          <w:szCs w:val="24"/>
          <w:lang w:eastAsia="es-MX"/>
        </w:rPr>
        <w:footnoteReference w:id="33"/>
      </w:r>
      <w:r w:rsidRPr="00BB1C3C">
        <w:rPr>
          <w:rFonts w:ascii="Arial" w:hAnsi="Arial" w:cs="Arial"/>
          <w:sz w:val="24"/>
          <w:szCs w:val="24"/>
          <w:lang w:eastAsia="es-MX"/>
        </w:rPr>
        <w:t xml:space="preserv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En la actualidad no es posible pensar en la carne como algo barato, pero la cantidad de carne que se podía consumir y se comía en el periodo colonial era impresionante. Al principio de estas investigaciones sobre el consumo de carne en Jalapa</w:t>
      </w:r>
      <w:r w:rsidRPr="00BB1C3C">
        <w:rPr>
          <w:rStyle w:val="Refdenotaalpie"/>
          <w:rFonts w:ascii="Arial" w:hAnsi="Arial" w:cs="Arial"/>
          <w:sz w:val="24"/>
          <w:szCs w:val="24"/>
          <w:lang w:eastAsia="es-MX"/>
        </w:rPr>
        <w:footnoteReference w:id="34"/>
      </w:r>
      <w:r w:rsidRPr="00BB1C3C">
        <w:rPr>
          <w:rFonts w:ascii="Arial" w:hAnsi="Arial" w:cs="Arial"/>
          <w:sz w:val="24"/>
          <w:szCs w:val="24"/>
          <w:lang w:eastAsia="es-MX"/>
        </w:rPr>
        <w:t>, mucha gente no concedía crédito a los resultados, hasta que presentó su libro Enriqueta Quiroz, que no sólo confirmaba tal información sino que ésta se había quedado corta.</w:t>
      </w:r>
      <w:r w:rsidRPr="00BB1C3C">
        <w:rPr>
          <w:rStyle w:val="Refdenotaalpie"/>
          <w:rFonts w:ascii="Arial" w:hAnsi="Arial" w:cs="Arial"/>
          <w:sz w:val="24"/>
          <w:szCs w:val="24"/>
          <w:lang w:eastAsia="es-MX"/>
        </w:rPr>
        <w:footnoteReference w:id="35"/>
      </w:r>
      <w:r w:rsidRPr="00BB1C3C">
        <w:rPr>
          <w:rFonts w:ascii="Arial" w:hAnsi="Arial" w:cs="Arial"/>
          <w:sz w:val="24"/>
          <w:szCs w:val="24"/>
          <w:lang w:eastAsia="es-MX"/>
        </w:rPr>
        <w:t xml:space="preserve">  Esto significa que la gente en general podía relativamente  “hartarse de carne”.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Para el año de 1796, el ciudadano Antonio Matías Rebolledo ofreció, para obtener el remate de carne: 4 libras y 5 onzas de carne de res y 21 onzas de carne de borrego por un real. Para tener una idea de la posibilidad de adquirir esa </w:t>
      </w:r>
      <w:r w:rsidRPr="00BB1C3C">
        <w:rPr>
          <w:rFonts w:ascii="Arial" w:hAnsi="Arial" w:cs="Arial"/>
          <w:sz w:val="24"/>
          <w:szCs w:val="24"/>
          <w:lang w:eastAsia="es-MX"/>
        </w:rPr>
        <w:lastRenderedPageBreak/>
        <w:t>carne,  si se considera que la gente menos pagada ganaba 2, 3 o 4 reales y que un buen carpintero podía ganar hasta un peso, se advierte  que ese último puede adquirir cada día más de 30 libras de carne de res.  Pero ese mismo artesano, si deseaba con ese peso comprar carne porcina, mucho más barata aún, tendrá una cantidad mucho más grande.</w:t>
      </w:r>
      <w:r w:rsidRPr="00BB1C3C">
        <w:rPr>
          <w:rStyle w:val="Refdenotaalpie"/>
          <w:rFonts w:ascii="Arial" w:hAnsi="Arial" w:cs="Arial"/>
          <w:sz w:val="24"/>
          <w:szCs w:val="24"/>
          <w:lang w:eastAsia="es-MX"/>
        </w:rPr>
        <w:footnoteReference w:id="36"/>
      </w:r>
      <w:r w:rsidRPr="00BB1C3C">
        <w:rPr>
          <w:rFonts w:ascii="Arial" w:hAnsi="Arial" w:cs="Arial"/>
          <w:sz w:val="24"/>
          <w:szCs w:val="24"/>
          <w:lang w:eastAsia="es-MX"/>
        </w:rPr>
        <w:t xml:space="preserv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Por eso se calculó que la ración cotidiana de carne de res podía oscilar entre 300 y 500 g de acuerdo con el estrato social, a la cual debe añadirse toda la carne de cerdo que es también muy importante, sea fresca o en forma de embutidos, tocinos y jamones.</w:t>
      </w:r>
      <w:r w:rsidRPr="00BB1C3C">
        <w:rPr>
          <w:rStyle w:val="Refdenotaalpie"/>
          <w:rFonts w:ascii="Arial" w:hAnsi="Arial" w:cs="Arial"/>
          <w:sz w:val="24"/>
          <w:szCs w:val="24"/>
          <w:lang w:eastAsia="es-MX"/>
        </w:rPr>
        <w:footnoteReference w:id="37"/>
      </w:r>
      <w:r w:rsidRPr="00BB1C3C">
        <w:rPr>
          <w:rFonts w:ascii="Arial" w:hAnsi="Arial" w:cs="Arial"/>
          <w:sz w:val="24"/>
          <w:szCs w:val="24"/>
          <w:lang w:eastAsia="es-MX"/>
        </w:rPr>
        <w:t xml:space="preserve">  Sobra mencionar el caso de las aves de corral, guajolotes, gallinas, patos, pichones, etc., sin olvidar los productos de la cacería, que debieron ser abundantes ya que los bosques todavía estaban muy cercanos a la villa y surcados por varios ríos.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En resumen, puede afirmarse sin mucho riesgo de error que el consumo de carne oscilaba entre 500 y 600 g, repartidos entre los diferentes tipos de carne disponible, según fueran las capacidades económicas de cada quien.  Y ello sin mencionar aún el consumo muy elevado de la manteca: Enriqueta Quiroz encontró en sus cálculos un consumo extraordinario en la Ciudad de México de casi 125 g.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Esta abundancia se reconoce incluso en las recetas de la época, dado que para hacer un “sencillo” caldo para merendar se ponía, casi de manera obligada, un cuarto de gallina, trozos de jamones, chorizos, etc., antes de comerse un pollo. </w:t>
      </w:r>
    </w:p>
    <w:p w:rsidR="00267F8E" w:rsidRPr="00BB1C3C" w:rsidRDefault="00267F8E" w:rsidP="00267F8E">
      <w:pPr>
        <w:spacing w:after="0" w:line="360" w:lineRule="auto"/>
        <w:contextualSpacing/>
        <w:jc w:val="both"/>
        <w:rPr>
          <w:rFonts w:ascii="Arial" w:hAnsi="Arial" w:cs="Arial"/>
          <w:b/>
          <w:sz w:val="24"/>
          <w:szCs w:val="24"/>
          <w:lang w:eastAsia="es-MX"/>
        </w:rPr>
      </w:pPr>
    </w:p>
    <w:p w:rsidR="00267F8E" w:rsidRPr="00BB1C3C" w:rsidRDefault="00267F8E" w:rsidP="00267F8E">
      <w:pPr>
        <w:spacing w:after="0" w:line="360" w:lineRule="auto"/>
        <w:contextualSpacing/>
        <w:jc w:val="both"/>
        <w:rPr>
          <w:rFonts w:ascii="Arial" w:hAnsi="Arial" w:cs="Arial"/>
          <w:b/>
          <w:sz w:val="24"/>
          <w:szCs w:val="24"/>
          <w:lang w:eastAsia="es-MX"/>
        </w:rPr>
      </w:pPr>
      <w:r w:rsidRPr="00BB1C3C">
        <w:rPr>
          <w:rFonts w:ascii="Arial" w:hAnsi="Arial" w:cs="Arial"/>
          <w:b/>
          <w:sz w:val="24"/>
          <w:szCs w:val="24"/>
          <w:lang w:eastAsia="es-MX"/>
        </w:rPr>
        <w:t>Cambios en el consumo después de la Independencia</w:t>
      </w:r>
    </w:p>
    <w:p w:rsidR="00267F8E" w:rsidRPr="00BB1C3C" w:rsidRDefault="00267F8E" w:rsidP="00267F8E">
      <w:pPr>
        <w:spacing w:after="0" w:line="360" w:lineRule="auto"/>
        <w:contextualSpacing/>
        <w:jc w:val="both"/>
        <w:rPr>
          <w:rFonts w:ascii="Arial" w:hAnsi="Arial" w:cs="Arial"/>
          <w:sz w:val="24"/>
          <w:szCs w:val="24"/>
          <w:lang w:eastAsia="es-MX"/>
        </w:rPr>
      </w:pPr>
      <w:r w:rsidRPr="00BB1C3C">
        <w:rPr>
          <w:rFonts w:ascii="Arial" w:hAnsi="Arial" w:cs="Arial"/>
          <w:sz w:val="24"/>
          <w:szCs w:val="24"/>
          <w:lang w:eastAsia="es-MX"/>
        </w:rPr>
        <w:t xml:space="preserve">Para visualizar las evoluciones se utilizó un documento de Ramón Garay, que es uno de los nuevos políticos que intenta hacer un inventario de los recursos naturales después de la Independencia, cuando se organiza el Estado de Veracruz.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lastRenderedPageBreak/>
        <w:t>“De los años 1801 a 1805 en que se habrá estancado…”, es decir, que ya era un mercado deprimido en la ciudad de Veracruz porque ya estaban las amenazas de la invasión inglesa, “…se mató 9 307 vacas, toros y novillos y 13 000 carneros”. Un mercado deprimido que no parece tan deprimido, pero sí lo era para su población d</w:t>
      </w:r>
      <w:r>
        <w:rPr>
          <w:rFonts w:ascii="Arial" w:hAnsi="Arial" w:cs="Arial"/>
          <w:sz w:val="24"/>
          <w:szCs w:val="24"/>
          <w:lang w:eastAsia="es-MX"/>
        </w:rPr>
        <w:t>e 16 000 habitantes. Él propone</w:t>
      </w:r>
      <w:r w:rsidRPr="00BB1C3C">
        <w:rPr>
          <w:rFonts w:ascii="Arial" w:hAnsi="Arial" w:cs="Arial"/>
          <w:sz w:val="24"/>
          <w:szCs w:val="24"/>
          <w:lang w:eastAsia="es-MX"/>
        </w:rPr>
        <w:t xml:space="preserve"> el resultado de sus cálculos para ese periodo: 175 libras de carne de res y 20 de borrego, es decir, 200 libras al año. Pero después, en su documento, señala una diferencia, ya que en 1830, a pesar de que ya el territorio veracruzano se está reorganizando, sólo se mataron 4 000 reses, esto es, la mitad y sólo 2 000 borregos. Se puede pensar en que subsisten aún problemas en el abasto, como el abasto de borrego y que las grandes migraciones de esos animales que procedían de las regiones del centro norte no han logrado reanudarse por las grandes destrucciones causadas por la guerra. Sin embargo, lo más probable es que cambiaron los modos de consumo: la gente come mucho menos carnes. Y, sin duda alguna, sobre todo en la clase popular, desaparece para siempre esta posibilidad del exceso de carne.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Este exceso había llegado al punto, en Jalapa, justo antes de la Independencia, de desquiciar el antiguo sistema de abasto controlado por el Ayuntamiento. Aparece en la plaza un nuevo tipo de carne, la “carne seca”, los vendedores de tasajos de res se vuelven una competencia muy fuerte para el abastecedor oficial. La llegada de esa carne, muy barata, debe relacionarse con los primeros albores de la colonización del trópico veracruzano, como de un Altiplano que se desborda hacia las tierras que descienden hacia el mar. Los rancheros de estas tierras altas buscan salida para sus ganados e intentan competir con los antiguos monopolios municipales y hacen circular carne salada, un tiempo bien recibida por la autoridad porque se consideraba el alimento barato “para el pueblo”, pero en realidad muchas veces, como lo constatarán después los inspectores del Ayuntamiento, es más bien carne fresca con unos granos de sal.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No debe tomarse partido entre estos abastecedores, sino que esa disputa, que dejó muchos documentos en el AMX, confirma esta abundancia de carnes al fin del XVIII. Parece evidente, desde el punto de vista de las prácticas culinarias, que se atestigua un cambio en el tratamiento de la carne. La gente compraba muy feliz </w:t>
      </w:r>
      <w:r w:rsidRPr="00BB1C3C">
        <w:rPr>
          <w:rFonts w:ascii="Arial" w:hAnsi="Arial" w:cs="Arial"/>
          <w:sz w:val="24"/>
          <w:szCs w:val="24"/>
          <w:lang w:eastAsia="es-MX"/>
        </w:rPr>
        <w:lastRenderedPageBreak/>
        <w:t xml:space="preserve">a un precio mucho más barato que la carne del abastecedor, una tercera parte, pero sobre todo es probable que se trata de una carne en la cual  no hay tanto hueso ni pellejo. Y la manera de consumir la carne de res va a cambiar; a los tradicionales caldos o estofados de res en la olla se añade el tasajo, cuya cocción es reducida, lo que es importante en una época en la cual hay que comprar madera para el anafre; la carne seca se </w:t>
      </w:r>
      <w:proofErr w:type="spellStart"/>
      <w:r w:rsidRPr="00BB1C3C">
        <w:rPr>
          <w:rFonts w:ascii="Arial" w:hAnsi="Arial" w:cs="Arial"/>
          <w:sz w:val="24"/>
          <w:szCs w:val="24"/>
          <w:lang w:eastAsia="es-MX"/>
        </w:rPr>
        <w:t>asa</w:t>
      </w:r>
      <w:proofErr w:type="spellEnd"/>
      <w:r w:rsidRPr="00BB1C3C">
        <w:rPr>
          <w:rFonts w:ascii="Arial" w:hAnsi="Arial" w:cs="Arial"/>
          <w:sz w:val="24"/>
          <w:szCs w:val="24"/>
          <w:lang w:eastAsia="es-MX"/>
        </w:rPr>
        <w:t xml:space="preserve"> en el comal o se introduce después en otro guiso, como los frijoles. El tipo de guiso de res hervida irá cayendo en desuso (conservado casi exclusivamente para la carne deshebrada y algunos estofados) y puede pensarse que la costumbre mexicana de comer la carne de res bajo la forma de un bistec muy cocido, más bien seco, proviene de esa irrupción masiva del tasajo en los mercados urbanos a fines del siglo XVIII.</w:t>
      </w:r>
      <w:r w:rsidRPr="00BB1C3C">
        <w:rPr>
          <w:rStyle w:val="Refdenotaalpie"/>
          <w:rFonts w:ascii="Arial" w:hAnsi="Arial" w:cs="Arial"/>
          <w:sz w:val="24"/>
          <w:szCs w:val="24"/>
          <w:lang w:eastAsia="es-MX"/>
        </w:rPr>
        <w:footnoteReference w:id="38"/>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En consecuencia, en los años de 1830 a 1840 es probable que la evolución del consumo de carne esté marcada a la baja, y probablemente para los sectores populares que jamás podrán recuperar los antiguos consumos. Si el consumo de pan también recuperará en ciertos espacios casi el nivel que tenía en la época colonial, es probable que su consumo siga sostenido por la ausencia de carne: no era posible abandonar de forma súbita un sistema global de alimentación. Pero ese consumo, probablemente en las dos décadas siguientes, seguirá bajando y aparecerá sobre todo el maíz como base del consumo popular. Era una evolución casi inevitable por el aumento de población y la evolución de la producción agrícola; incluso durante el propio proceso de independencia se fraguan frases nuevas, como “El maíz es el alimento nuevo del popular”, cuando ese tipo de reflexiones parecen más bien inusitadas hasta ese momento. Es decir, al afirmar que el maíz va a empezar un rápido proceso de dignificación, no quiere decirse que antes no se comía maíz, ya que se consumían atoles, elotes tiernos y esquites y había todo tipo de tamales.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Por otra parte, Enriqueta Quiroz calculó que en la Ciudad de México, como probablemente en Jalapa, se comían alrededor de 125 g de manteca al día, lo que </w:t>
      </w:r>
      <w:r w:rsidRPr="00BB1C3C">
        <w:rPr>
          <w:rFonts w:ascii="Arial" w:hAnsi="Arial" w:cs="Arial"/>
          <w:sz w:val="24"/>
          <w:szCs w:val="24"/>
          <w:lang w:eastAsia="es-MX"/>
        </w:rPr>
        <w:lastRenderedPageBreak/>
        <w:t xml:space="preserve">parece bastante, y si se toma en cuenta que una parte sirve para diversas fritangas que sean carnes o todo tipo de buñuelos y pambazos, es evidente que una buena parte se utiliza para los tamales y una cierta proporción para suavizar el pan y no sólo los diferentes tipos de pan de dulce.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A partir del decenio de 1830 se impone en grado paulatino otro modelo de alimentación. Esta primera “revolución” alimentaria en el México independiente es una consecuencia de la Independencia que provoca una ruptura general en el imaginario alimenticio de los nuevos ciudadanos.  Por ejemplo, el consumo de borrego jamás se recuperará; si se cotejan los almanaques de la Ciudad de México de 1850 se puede constatar que todavía aparece el sacrifico de unos cuantos borregos, pero son ahora en verdad para un sector muy alto de la “gente pudiente”, y tal vez habrá que esperar la otra revolución para que casi desaparezca el consumo de la carne de borrego, reducida en adelante a un consumo regional o folclórico. No debe perderse de vista que los médicos novohispanos consideraban esa carne, tan simbólicamente cargada, como una poderosa medicina. Cuando la gente se enfermaba se le recetaba un caldo de borrego, capaz de aliviar cualquier dolencia.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Es claro que el consumo de carne en Jalapa ya no volverá jamás a alcanzar  los niveles coloniales y no sólo por la rápida desaparición del borrego. Frente al binomio pan-carne de borrego se impondrá su competencia: maíz-carne de res. Esto corresponde quizá a un nuevo paisaje agrario en el entorno de la ciudad, que debe asegurarse un abasto regular de maíz, más aún con el crecimiento de la ciudad. Si el reemplazo del trigo por el maíz en Jalapa será más paulatino, se debe a los intercambios de cereales que, si bien bastante mermados, a pesar de todo siguen entre el Altiplano poblano y el Caribe veracruzano.  Sobre la cantidad exacta de maíz consumido por los hombres de manera directa, aún es difícil determinarla porque se desconoce qué proporción es consumo humano y qué proporción se utiliza para los animales del corral o un posible chiquero familiar. Tampoco se puede soslayar la presencia de pequeñas granjas de engorda, situadas intramuros, para el mercado local jalapeño. En cuanto al gran enfrentamiento simbólico cultural se puede afirmar que el trigo perderá por siglo y </w:t>
      </w:r>
      <w:r w:rsidRPr="00BB1C3C">
        <w:rPr>
          <w:rFonts w:ascii="Arial" w:hAnsi="Arial" w:cs="Arial"/>
          <w:sz w:val="24"/>
          <w:szCs w:val="24"/>
          <w:lang w:eastAsia="es-MX"/>
        </w:rPr>
        <w:lastRenderedPageBreak/>
        <w:t xml:space="preserve">medio su papel de principal alimento urbano, aunque probablemente las condiciones de vida urbana a partir de la década de 1980 impulsarán un nuevo consumo de ese cereal, otra vez dominante en los sectores sociales más favorecidos y el maíz perderá poco a poco la batalla y su preponderancia en el sector popular. Esto no impide que en el imaginario nacional la tortilla o su lugar mítico de producción, la milpa, sean todavía representaciones del alimento nacional. En cuanto a los productos alimentarios provenientes de la recolección, es probable que por los cambios urbanos empezara a decrecer su consumo aunque, como puede parecer con el consumo de los hongos, tal consumo fuera más ambiguo, dado que existía una cierta desconfianza hacia él en el imaginario español. No se cuenta con demasiada información acerca de la cantidad de “quelites” traídos por los campesinos a los mercados urbanos, pero es posible suponer que eran mucho más numerosos que la cantidad actual, y que en cierto sentido complementaban la alimentación popular, ya que la carne empezaba a estar fuera de alcance. La aparición del consumo generalizado del arroz en estos años da testimonio también de esta evolución general y pasó de ser un producto de </w:t>
      </w:r>
      <w:proofErr w:type="spellStart"/>
      <w:r w:rsidRPr="00BB1C3C">
        <w:rPr>
          <w:rFonts w:ascii="Arial" w:hAnsi="Arial" w:cs="Arial"/>
          <w:sz w:val="24"/>
          <w:szCs w:val="24"/>
          <w:lang w:eastAsia="es-MX"/>
        </w:rPr>
        <w:t>semilujo</w:t>
      </w:r>
      <w:proofErr w:type="spellEnd"/>
      <w:r w:rsidRPr="00BB1C3C">
        <w:rPr>
          <w:rFonts w:ascii="Arial" w:hAnsi="Arial" w:cs="Arial"/>
          <w:sz w:val="24"/>
          <w:szCs w:val="24"/>
          <w:lang w:eastAsia="es-MX"/>
        </w:rPr>
        <w:t xml:space="preserve"> a un consumo más cotidiano y al alcance popular. También es probable que estos cambios ganaran ventajas de sabor tras el consumo de chiles, que iba creciendo y que al llegar al siglo XX se transformaría en símbolo fundamental de la cocina mexicana.</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Esta investigación ha dejado fuera la bebida como consumo histórico. Existen muchos estudios con orientación moralizante sobre el tema y análisis particular de ciertas bebidas: el pulque, los fermentados tradicionales (de maíz o no), el vino y los alcoholes importados o incluso el famoso chinguirito. Si es evidente que la masa de pan y las carnes ingurgitadas en la época colonial necesitaban muchos líquidos, de preferencia alcoholizados, ese consumo se conservará en la época siguiente. El pulque verá probablemente su consumo aumentado en las clases populares porque, siendo un alimento casi completo, irá reemplazando desde el punto de vista nutricional a las proteínas de la carne. El asesinato premeditado del pulque en el decenio de 1970 inauguraba una nueva era alcohólica popular en la cual las grandes cerveceras nacionales y los destiladores nacionales e importados </w:t>
      </w:r>
      <w:r w:rsidRPr="00BB1C3C">
        <w:rPr>
          <w:rFonts w:ascii="Arial" w:hAnsi="Arial" w:cs="Arial"/>
          <w:sz w:val="24"/>
          <w:szCs w:val="24"/>
          <w:lang w:eastAsia="es-MX"/>
        </w:rPr>
        <w:lastRenderedPageBreak/>
        <w:t xml:space="preserve">intentaron hacer creer que “la Rubia”, “don Pedro” y “la cuba” eran la esencia de la nacionalidad. </w:t>
      </w:r>
    </w:p>
    <w:p w:rsidR="00267F8E" w:rsidRPr="00BB1C3C" w:rsidRDefault="00267F8E" w:rsidP="00267F8E">
      <w:pPr>
        <w:spacing w:after="0" w:line="360" w:lineRule="auto"/>
        <w:ind w:firstLine="340"/>
        <w:contextualSpacing/>
        <w:jc w:val="both"/>
        <w:rPr>
          <w:rFonts w:ascii="Arial" w:hAnsi="Arial" w:cs="Arial"/>
          <w:sz w:val="24"/>
          <w:szCs w:val="24"/>
          <w:lang w:eastAsia="es-MX"/>
        </w:rPr>
      </w:pPr>
      <w:r w:rsidRPr="00BB1C3C">
        <w:rPr>
          <w:rFonts w:ascii="Arial" w:hAnsi="Arial" w:cs="Arial"/>
          <w:sz w:val="24"/>
          <w:szCs w:val="24"/>
          <w:lang w:eastAsia="es-MX"/>
        </w:rPr>
        <w:t xml:space="preserve">En fin, habría sido necesario también evocar algo de las evoluciones diferentes observadas en las diversas regiones de Veracruz, en términos de producción y consumo, ya que estas evoluciones influyeron en el mercado del abasto jalapeño. Como ejemplo de estas necesarias microhistorias, puede citarse el caso de la región de Misantla en la que el trigo jamás se había logrado imponer por el aislamiento geográfico y donde los que de modo empecinado quieren encontrar un modelo de alimentación mesoamericano podrían encontrar material para su reflexión. El consumo del maíz permaneció casi sin cambios durante siglos y la carne de origen occidental consumida entró en competencia con el aprovechamiento que proporcionaban los recursos de la recolección, la caza y la pesca. En cuanto a lo que ocurrió allá en el sur del estado de Veracruz, la gran evolución ocurría a partir del consumo del plátano que se volvió “el cereal de base” y no tanto el maíz, combinado con todo tipo de “camotes” tropicales. </w:t>
      </w:r>
    </w:p>
    <w:p w:rsidR="00267F8E" w:rsidRDefault="00267F8E" w:rsidP="00267F8E">
      <w:pPr>
        <w:spacing w:after="0" w:line="360" w:lineRule="auto"/>
        <w:contextualSpacing/>
        <w:jc w:val="both"/>
        <w:rPr>
          <w:rFonts w:ascii="Arial" w:hAnsi="Arial" w:cs="Arial"/>
          <w:sz w:val="24"/>
          <w:szCs w:val="24"/>
          <w:lang w:eastAsia="es-MX"/>
        </w:rPr>
      </w:pPr>
    </w:p>
    <w:p w:rsidR="00267F8E" w:rsidRPr="00BB1C3C" w:rsidRDefault="00267F8E" w:rsidP="00267F8E">
      <w:pPr>
        <w:spacing w:after="0" w:line="240" w:lineRule="auto"/>
        <w:contextualSpacing/>
        <w:jc w:val="both"/>
        <w:rPr>
          <w:rFonts w:ascii="Arial" w:hAnsi="Arial" w:cs="Arial"/>
          <w:sz w:val="24"/>
          <w:szCs w:val="24"/>
          <w:lang w:eastAsia="es-MX"/>
        </w:rPr>
      </w:pPr>
      <w:r w:rsidRPr="00BB1C3C">
        <w:rPr>
          <w:rFonts w:ascii="Arial" w:hAnsi="Arial" w:cs="Arial"/>
          <w:b/>
          <w:sz w:val="24"/>
          <w:szCs w:val="24"/>
        </w:rPr>
        <w:t>Bibliografía</w:t>
      </w:r>
    </w:p>
    <w:p w:rsidR="00267F8E" w:rsidRPr="00BB1C3C" w:rsidRDefault="00267F8E" w:rsidP="00267F8E">
      <w:pPr>
        <w:spacing w:after="0" w:line="240" w:lineRule="auto"/>
        <w:ind w:left="993" w:hanging="964"/>
        <w:contextualSpacing/>
        <w:jc w:val="both"/>
        <w:rPr>
          <w:rFonts w:ascii="Arial" w:hAnsi="Arial" w:cs="Arial"/>
          <w:sz w:val="24"/>
          <w:szCs w:val="24"/>
        </w:rPr>
      </w:pPr>
      <w:r w:rsidRPr="00BB1C3C">
        <w:rPr>
          <w:rFonts w:ascii="Arial" w:hAnsi="Arial" w:cs="Arial"/>
          <w:sz w:val="24"/>
          <w:szCs w:val="24"/>
        </w:rPr>
        <w:t xml:space="preserve">Actas de Cabildo 1794-1820 en </w:t>
      </w:r>
      <w:r w:rsidRPr="00BB1C3C">
        <w:rPr>
          <w:rFonts w:ascii="Arial" w:hAnsi="Arial" w:cs="Arial"/>
          <w:i/>
          <w:sz w:val="24"/>
          <w:szCs w:val="24"/>
        </w:rPr>
        <w:t>Archivo Municipal de Xalapa</w:t>
      </w:r>
      <w:r w:rsidRPr="00BB1C3C">
        <w:rPr>
          <w:rFonts w:ascii="Arial" w:hAnsi="Arial" w:cs="Arial"/>
          <w:sz w:val="24"/>
          <w:szCs w:val="24"/>
        </w:rPr>
        <w:t xml:space="preserve"> </w:t>
      </w:r>
    </w:p>
    <w:p w:rsidR="00267F8E" w:rsidRPr="00BB1C3C" w:rsidRDefault="00267F8E" w:rsidP="00267F8E">
      <w:pPr>
        <w:spacing w:after="0" w:line="240" w:lineRule="auto"/>
        <w:ind w:left="993" w:hanging="964"/>
        <w:contextualSpacing/>
        <w:jc w:val="both"/>
        <w:rPr>
          <w:rFonts w:ascii="Arial" w:hAnsi="Arial" w:cs="Arial"/>
          <w:sz w:val="24"/>
          <w:szCs w:val="24"/>
        </w:rPr>
      </w:pPr>
      <w:r w:rsidRPr="00BB1C3C">
        <w:rPr>
          <w:rFonts w:ascii="Arial" w:hAnsi="Arial" w:cs="Arial"/>
          <w:sz w:val="24"/>
          <w:szCs w:val="24"/>
          <w:lang w:eastAsia="es-MX"/>
        </w:rPr>
        <w:t xml:space="preserve">Garay Ramón de, Estadística del departamento de Veracruz, Compuesto de los cuatro cantones, Veracruz, Misantla, Papantla y Tampico. En </w:t>
      </w:r>
      <w:r w:rsidRPr="00BB1C3C">
        <w:rPr>
          <w:rFonts w:ascii="Arial" w:hAnsi="Arial" w:cs="Arial"/>
          <w:i/>
          <w:sz w:val="24"/>
          <w:szCs w:val="24"/>
          <w:lang w:eastAsia="es-MX"/>
        </w:rPr>
        <w:t>Estado de Veracruz. Informes de sus gobernadores. 1826-1986</w:t>
      </w:r>
      <w:r w:rsidRPr="00BB1C3C">
        <w:rPr>
          <w:rFonts w:ascii="Arial" w:hAnsi="Arial" w:cs="Arial"/>
          <w:sz w:val="24"/>
          <w:szCs w:val="24"/>
          <w:lang w:eastAsia="es-MX"/>
        </w:rPr>
        <w:t>. Tomo I, Xalapa 1986, Blázquez Domínguez Carmen (</w:t>
      </w:r>
      <w:proofErr w:type="spellStart"/>
      <w:r w:rsidRPr="00BB1C3C">
        <w:rPr>
          <w:rFonts w:ascii="Arial" w:hAnsi="Arial" w:cs="Arial"/>
          <w:sz w:val="24"/>
          <w:szCs w:val="24"/>
          <w:lang w:eastAsia="es-MX"/>
        </w:rPr>
        <w:t>comp.</w:t>
      </w:r>
      <w:proofErr w:type="spellEnd"/>
      <w:r w:rsidRPr="00BB1C3C">
        <w:rPr>
          <w:rFonts w:ascii="Arial" w:hAnsi="Arial" w:cs="Arial"/>
          <w:sz w:val="24"/>
          <w:szCs w:val="24"/>
          <w:lang w:eastAsia="es-MX"/>
        </w:rPr>
        <w:t>)Pp. 245-316</w:t>
      </w:r>
    </w:p>
    <w:p w:rsidR="00267F8E" w:rsidRPr="00BB1C3C" w:rsidRDefault="00267F8E" w:rsidP="00267F8E">
      <w:pPr>
        <w:spacing w:after="0" w:line="240" w:lineRule="auto"/>
        <w:ind w:left="993" w:hanging="964"/>
        <w:contextualSpacing/>
        <w:jc w:val="both"/>
        <w:rPr>
          <w:rFonts w:ascii="Arial" w:hAnsi="Arial" w:cs="Arial"/>
          <w:sz w:val="24"/>
          <w:szCs w:val="24"/>
        </w:rPr>
      </w:pPr>
      <w:r w:rsidRPr="00BB1C3C">
        <w:rPr>
          <w:rFonts w:ascii="Arial" w:hAnsi="Arial" w:cs="Arial"/>
          <w:sz w:val="24"/>
          <w:szCs w:val="24"/>
        </w:rPr>
        <w:t xml:space="preserve">Martínez Martín Abel Fernando, Otálora Cascante Andrés Ricardo. Hambriento un pueblo lucha”. La alimentación en los ejércitos del Rey y del Libertador durante la independencia de Colombia (1815-1819)”, en </w:t>
      </w:r>
      <w:r w:rsidRPr="00BB1C3C">
        <w:rPr>
          <w:rFonts w:ascii="Arial" w:hAnsi="Arial" w:cs="Arial"/>
          <w:i/>
          <w:sz w:val="24"/>
          <w:szCs w:val="24"/>
        </w:rPr>
        <w:t>Historia Crítica</w:t>
      </w:r>
      <w:r w:rsidRPr="00BB1C3C">
        <w:rPr>
          <w:rFonts w:ascii="Arial" w:hAnsi="Arial" w:cs="Arial"/>
          <w:sz w:val="24"/>
          <w:szCs w:val="24"/>
        </w:rPr>
        <w:t>. No. 41, Bogotá, mayo-agosto 2010, 272 pp.  86-109</w:t>
      </w:r>
    </w:p>
    <w:p w:rsidR="00267F8E" w:rsidRPr="00BB1C3C" w:rsidRDefault="00267F8E" w:rsidP="00267F8E">
      <w:pPr>
        <w:spacing w:after="0" w:line="240" w:lineRule="auto"/>
        <w:ind w:left="993" w:hanging="964"/>
        <w:contextualSpacing/>
        <w:jc w:val="both"/>
        <w:rPr>
          <w:rFonts w:ascii="Arial" w:hAnsi="Arial" w:cs="Arial"/>
          <w:sz w:val="24"/>
          <w:szCs w:val="24"/>
        </w:rPr>
      </w:pPr>
      <w:r w:rsidRPr="00BB1C3C">
        <w:rPr>
          <w:rFonts w:ascii="Arial" w:hAnsi="Arial" w:cs="Arial"/>
          <w:sz w:val="24"/>
          <w:szCs w:val="24"/>
        </w:rPr>
        <w:t xml:space="preserve">Martínez </w:t>
      </w:r>
      <w:proofErr w:type="spellStart"/>
      <w:r w:rsidRPr="00BB1C3C">
        <w:rPr>
          <w:rFonts w:ascii="Arial" w:hAnsi="Arial" w:cs="Arial"/>
          <w:sz w:val="24"/>
          <w:szCs w:val="24"/>
        </w:rPr>
        <w:t>Montiño</w:t>
      </w:r>
      <w:proofErr w:type="spellEnd"/>
      <w:r w:rsidRPr="00BB1C3C">
        <w:rPr>
          <w:rFonts w:ascii="Arial" w:hAnsi="Arial" w:cs="Arial"/>
          <w:sz w:val="24"/>
          <w:szCs w:val="24"/>
        </w:rPr>
        <w:t xml:space="preserve"> Francisco. </w:t>
      </w:r>
      <w:r w:rsidRPr="00BB1C3C">
        <w:rPr>
          <w:rFonts w:ascii="Arial" w:hAnsi="Arial" w:cs="Arial"/>
          <w:i/>
          <w:sz w:val="24"/>
          <w:szCs w:val="24"/>
        </w:rPr>
        <w:t xml:space="preserve">Arte de </w:t>
      </w:r>
      <w:proofErr w:type="spellStart"/>
      <w:r w:rsidRPr="00BB1C3C">
        <w:rPr>
          <w:rFonts w:ascii="Arial" w:hAnsi="Arial" w:cs="Arial"/>
          <w:i/>
          <w:sz w:val="24"/>
          <w:szCs w:val="24"/>
        </w:rPr>
        <w:t>cozina</w:t>
      </w:r>
      <w:proofErr w:type="spellEnd"/>
      <w:r w:rsidRPr="00BB1C3C">
        <w:rPr>
          <w:rFonts w:ascii="Arial" w:hAnsi="Arial" w:cs="Arial"/>
          <w:i/>
          <w:sz w:val="24"/>
          <w:szCs w:val="24"/>
        </w:rPr>
        <w:t xml:space="preserve">, </w:t>
      </w:r>
      <w:proofErr w:type="spellStart"/>
      <w:r w:rsidRPr="00BB1C3C">
        <w:rPr>
          <w:rFonts w:ascii="Arial" w:hAnsi="Arial" w:cs="Arial"/>
          <w:i/>
          <w:sz w:val="24"/>
          <w:szCs w:val="24"/>
        </w:rPr>
        <w:t>pasteleria</w:t>
      </w:r>
      <w:proofErr w:type="spellEnd"/>
      <w:r w:rsidRPr="00BB1C3C">
        <w:rPr>
          <w:rFonts w:ascii="Arial" w:hAnsi="Arial" w:cs="Arial"/>
          <w:i/>
          <w:sz w:val="24"/>
          <w:szCs w:val="24"/>
        </w:rPr>
        <w:t xml:space="preserve">, </w:t>
      </w:r>
      <w:proofErr w:type="spellStart"/>
      <w:r w:rsidRPr="00BB1C3C">
        <w:rPr>
          <w:rFonts w:ascii="Arial" w:hAnsi="Arial" w:cs="Arial"/>
          <w:i/>
          <w:sz w:val="24"/>
          <w:szCs w:val="24"/>
        </w:rPr>
        <w:t>vizcocheria</w:t>
      </w:r>
      <w:proofErr w:type="spellEnd"/>
      <w:r w:rsidRPr="00BB1C3C">
        <w:rPr>
          <w:rFonts w:ascii="Arial" w:hAnsi="Arial" w:cs="Arial"/>
          <w:i/>
          <w:sz w:val="24"/>
          <w:szCs w:val="24"/>
        </w:rPr>
        <w:t xml:space="preserve"> y </w:t>
      </w:r>
      <w:proofErr w:type="spellStart"/>
      <w:r w:rsidRPr="00BB1C3C">
        <w:rPr>
          <w:rFonts w:ascii="Arial" w:hAnsi="Arial" w:cs="Arial"/>
          <w:i/>
          <w:sz w:val="24"/>
          <w:szCs w:val="24"/>
        </w:rPr>
        <w:t>conserueria</w:t>
      </w:r>
      <w:proofErr w:type="spellEnd"/>
      <w:r w:rsidRPr="00BB1C3C">
        <w:rPr>
          <w:rFonts w:ascii="Arial" w:hAnsi="Arial" w:cs="Arial"/>
          <w:i/>
          <w:sz w:val="24"/>
          <w:szCs w:val="24"/>
        </w:rPr>
        <w:t>.</w:t>
      </w:r>
      <w:r w:rsidRPr="00BB1C3C">
        <w:rPr>
          <w:rFonts w:ascii="Arial" w:hAnsi="Arial" w:cs="Arial"/>
          <w:sz w:val="24"/>
          <w:szCs w:val="24"/>
        </w:rPr>
        <w:t xml:space="preserve"> Madrid, 1611. Reedición </w:t>
      </w:r>
      <w:proofErr w:type="spellStart"/>
      <w:r w:rsidRPr="00BB1C3C">
        <w:rPr>
          <w:rFonts w:ascii="Arial" w:hAnsi="Arial" w:cs="Arial"/>
          <w:sz w:val="24"/>
          <w:szCs w:val="24"/>
        </w:rPr>
        <w:t>Tusquets</w:t>
      </w:r>
      <w:proofErr w:type="spellEnd"/>
      <w:r w:rsidRPr="00BB1C3C">
        <w:rPr>
          <w:rFonts w:ascii="Arial" w:hAnsi="Arial" w:cs="Arial"/>
          <w:sz w:val="24"/>
          <w:szCs w:val="24"/>
        </w:rPr>
        <w:t xml:space="preserve"> Editores, Los 5 Sentidos, Barcelona, 1982.</w:t>
      </w:r>
    </w:p>
    <w:p w:rsidR="00267F8E" w:rsidRPr="00BB1C3C" w:rsidRDefault="00267F8E" w:rsidP="00267F8E">
      <w:pPr>
        <w:spacing w:after="0" w:line="240" w:lineRule="auto"/>
        <w:ind w:left="993" w:hanging="964"/>
        <w:contextualSpacing/>
        <w:jc w:val="both"/>
        <w:rPr>
          <w:rFonts w:ascii="Arial" w:hAnsi="Arial" w:cs="Arial"/>
          <w:sz w:val="24"/>
          <w:szCs w:val="24"/>
        </w:rPr>
      </w:pPr>
      <w:r w:rsidRPr="00BB1C3C">
        <w:rPr>
          <w:rFonts w:ascii="Arial" w:hAnsi="Arial" w:cs="Arial"/>
          <w:sz w:val="24"/>
          <w:szCs w:val="24"/>
        </w:rPr>
        <w:t xml:space="preserve">Quiroz Enriqueta, </w:t>
      </w:r>
      <w:r w:rsidRPr="00BB1C3C">
        <w:rPr>
          <w:rFonts w:ascii="Arial" w:hAnsi="Arial" w:cs="Arial"/>
          <w:i/>
          <w:sz w:val="24"/>
          <w:szCs w:val="24"/>
        </w:rPr>
        <w:t>Entre el lujo y la subsistencia. Mercado, abastecimiento y precios de la carne, en la ciudad de México 1750-1812</w:t>
      </w:r>
      <w:r w:rsidRPr="00BB1C3C">
        <w:rPr>
          <w:rFonts w:ascii="Arial" w:hAnsi="Arial" w:cs="Arial"/>
          <w:sz w:val="24"/>
          <w:szCs w:val="24"/>
        </w:rPr>
        <w:t>, edit. COLMEX-Mora, México, 2005.</w:t>
      </w:r>
    </w:p>
    <w:p w:rsidR="00267F8E" w:rsidRPr="00BB1C3C" w:rsidRDefault="00267F8E" w:rsidP="00267F8E">
      <w:pPr>
        <w:spacing w:after="0" w:line="240" w:lineRule="auto"/>
        <w:ind w:left="993" w:hanging="964"/>
        <w:contextualSpacing/>
        <w:jc w:val="both"/>
        <w:rPr>
          <w:rFonts w:ascii="Arial" w:hAnsi="Arial" w:cs="Arial"/>
          <w:sz w:val="24"/>
          <w:szCs w:val="24"/>
          <w:lang w:val="es-CO"/>
        </w:rPr>
      </w:pPr>
      <w:r w:rsidRPr="00BB1C3C">
        <w:rPr>
          <w:rFonts w:ascii="Arial" w:hAnsi="Arial" w:cs="Arial"/>
          <w:sz w:val="24"/>
          <w:szCs w:val="24"/>
        </w:rPr>
        <w:t xml:space="preserve">Restrepo Cecilia, </w:t>
      </w:r>
      <w:r w:rsidRPr="00BB1C3C">
        <w:rPr>
          <w:rFonts w:ascii="Arial" w:hAnsi="Arial" w:cs="Arial"/>
          <w:i/>
          <w:sz w:val="24"/>
          <w:szCs w:val="24"/>
        </w:rPr>
        <w:t>Historia del pan en Colombia desde el siglo XVI al XIX.</w:t>
      </w:r>
      <w:r w:rsidRPr="00BB1C3C">
        <w:rPr>
          <w:rFonts w:ascii="Arial" w:hAnsi="Arial" w:cs="Arial"/>
          <w:sz w:val="24"/>
          <w:szCs w:val="24"/>
        </w:rPr>
        <w:t xml:space="preserve"> En </w:t>
      </w:r>
      <w:hyperlink r:id="rId7" w:anchor="_ftn21" w:history="1">
        <w:r w:rsidRPr="00BB1C3C">
          <w:rPr>
            <w:rStyle w:val="Hipervnculo"/>
            <w:rFonts w:ascii="Arial" w:hAnsi="Arial" w:cs="Arial"/>
            <w:sz w:val="24"/>
            <w:szCs w:val="24"/>
            <w:lang w:val="es-CO"/>
          </w:rPr>
          <w:t>http://www.historiacocina.com/paises/articulos/pancolombia.htm#_ftn21</w:t>
        </w:r>
      </w:hyperlink>
    </w:p>
    <w:p w:rsidR="00267F8E" w:rsidRPr="00BB1C3C" w:rsidRDefault="00267F8E" w:rsidP="00267F8E">
      <w:pPr>
        <w:spacing w:after="0" w:line="240" w:lineRule="auto"/>
        <w:ind w:left="993" w:hanging="964"/>
        <w:contextualSpacing/>
        <w:jc w:val="both"/>
        <w:rPr>
          <w:rFonts w:ascii="Arial" w:hAnsi="Arial" w:cs="Arial"/>
          <w:sz w:val="24"/>
          <w:szCs w:val="24"/>
        </w:rPr>
      </w:pPr>
      <w:r w:rsidRPr="00BB1C3C">
        <w:rPr>
          <w:rFonts w:ascii="Arial" w:hAnsi="Arial" w:cs="Arial"/>
          <w:sz w:val="24"/>
          <w:szCs w:val="24"/>
        </w:rPr>
        <w:t xml:space="preserve">Román José Francisco, Comer en tiempos de guerra: de la Independencia a la Revolución Mexicana en </w:t>
      </w:r>
      <w:r w:rsidRPr="00BB1C3C">
        <w:rPr>
          <w:rFonts w:ascii="Arial" w:hAnsi="Arial" w:cs="Arial"/>
          <w:i/>
          <w:sz w:val="24"/>
          <w:szCs w:val="24"/>
        </w:rPr>
        <w:t>Anuario de Estudios Americanos</w:t>
      </w:r>
      <w:r w:rsidRPr="00BB1C3C">
        <w:rPr>
          <w:rFonts w:ascii="Arial" w:hAnsi="Arial" w:cs="Arial"/>
          <w:sz w:val="24"/>
          <w:szCs w:val="24"/>
        </w:rPr>
        <w:t>, 68, 1, enero-junio, 381-389, Sevilla (España), 2011</w:t>
      </w:r>
    </w:p>
    <w:p w:rsidR="00267F8E" w:rsidRPr="00BB1C3C" w:rsidRDefault="00267F8E" w:rsidP="00267F8E">
      <w:pPr>
        <w:pStyle w:val="Textonotapie"/>
        <w:spacing w:after="0" w:line="240" w:lineRule="auto"/>
        <w:ind w:left="993" w:hanging="964"/>
        <w:contextualSpacing/>
        <w:jc w:val="both"/>
        <w:rPr>
          <w:rFonts w:ascii="Arial" w:hAnsi="Arial" w:cs="Arial"/>
          <w:sz w:val="24"/>
          <w:szCs w:val="24"/>
        </w:rPr>
      </w:pPr>
      <w:proofErr w:type="spellStart"/>
      <w:r w:rsidRPr="00BB1C3C">
        <w:rPr>
          <w:rFonts w:ascii="Arial" w:hAnsi="Arial" w:cs="Arial"/>
          <w:sz w:val="24"/>
          <w:szCs w:val="24"/>
        </w:rPr>
        <w:t>Rozat</w:t>
      </w:r>
      <w:proofErr w:type="spellEnd"/>
      <w:r w:rsidRPr="00BB1C3C">
        <w:rPr>
          <w:rFonts w:ascii="Arial" w:hAnsi="Arial" w:cs="Arial"/>
          <w:sz w:val="24"/>
          <w:szCs w:val="24"/>
        </w:rPr>
        <w:t xml:space="preserve"> </w:t>
      </w:r>
      <w:proofErr w:type="spellStart"/>
      <w:r w:rsidRPr="00BB1C3C">
        <w:rPr>
          <w:rFonts w:ascii="Arial" w:hAnsi="Arial" w:cs="Arial"/>
          <w:sz w:val="24"/>
          <w:szCs w:val="24"/>
        </w:rPr>
        <w:t>Dupeyron</w:t>
      </w:r>
      <w:proofErr w:type="spellEnd"/>
      <w:r w:rsidRPr="00BB1C3C">
        <w:rPr>
          <w:rFonts w:ascii="Arial" w:hAnsi="Arial" w:cs="Arial"/>
          <w:sz w:val="24"/>
          <w:szCs w:val="24"/>
        </w:rPr>
        <w:t xml:space="preserve">, </w:t>
      </w:r>
      <w:proofErr w:type="spellStart"/>
      <w:r w:rsidRPr="00BB1C3C">
        <w:rPr>
          <w:rFonts w:ascii="Arial" w:hAnsi="Arial" w:cs="Arial"/>
          <w:sz w:val="24"/>
          <w:szCs w:val="24"/>
        </w:rPr>
        <w:t>Guy</w:t>
      </w:r>
      <w:proofErr w:type="spellEnd"/>
      <w:r w:rsidRPr="00BB1C3C">
        <w:rPr>
          <w:rFonts w:ascii="Arial" w:hAnsi="Arial" w:cs="Arial"/>
          <w:sz w:val="24"/>
          <w:szCs w:val="24"/>
        </w:rPr>
        <w:t xml:space="preserve">, El abasto de carne en Xalapa a fines del Siglo XVIII, en </w:t>
      </w:r>
      <w:r w:rsidRPr="00BB1C3C">
        <w:rPr>
          <w:rFonts w:ascii="Arial" w:hAnsi="Arial" w:cs="Arial"/>
          <w:i/>
          <w:sz w:val="24"/>
          <w:szCs w:val="24"/>
        </w:rPr>
        <w:t>Historia Urbana</w:t>
      </w:r>
      <w:r w:rsidRPr="00BB1C3C">
        <w:rPr>
          <w:rFonts w:ascii="Arial" w:hAnsi="Arial" w:cs="Arial"/>
          <w:sz w:val="24"/>
          <w:szCs w:val="24"/>
        </w:rPr>
        <w:t>, segundo congreso RNIU, México, 1999.</w:t>
      </w:r>
    </w:p>
    <w:p w:rsidR="00267F8E" w:rsidRPr="00BB1C3C" w:rsidRDefault="00267F8E" w:rsidP="00267F8E">
      <w:pPr>
        <w:pStyle w:val="Textonotapie"/>
        <w:spacing w:after="0" w:line="240" w:lineRule="auto"/>
        <w:ind w:left="993" w:hanging="964"/>
        <w:contextualSpacing/>
        <w:jc w:val="both"/>
        <w:rPr>
          <w:rFonts w:ascii="Arial" w:hAnsi="Arial" w:cs="Arial"/>
          <w:sz w:val="24"/>
          <w:szCs w:val="24"/>
        </w:rPr>
      </w:pPr>
      <w:proofErr w:type="spellStart"/>
      <w:r w:rsidRPr="00BB1C3C">
        <w:rPr>
          <w:rFonts w:ascii="Arial" w:hAnsi="Arial" w:cs="Arial"/>
          <w:sz w:val="24"/>
          <w:szCs w:val="24"/>
        </w:rPr>
        <w:lastRenderedPageBreak/>
        <w:t>Rozat</w:t>
      </w:r>
      <w:proofErr w:type="spellEnd"/>
      <w:r w:rsidRPr="00BB1C3C">
        <w:rPr>
          <w:rFonts w:ascii="Arial" w:hAnsi="Arial" w:cs="Arial"/>
          <w:sz w:val="24"/>
          <w:szCs w:val="24"/>
        </w:rPr>
        <w:t xml:space="preserve"> </w:t>
      </w:r>
      <w:proofErr w:type="spellStart"/>
      <w:r w:rsidRPr="00BB1C3C">
        <w:rPr>
          <w:rFonts w:ascii="Arial" w:hAnsi="Arial" w:cs="Arial"/>
          <w:sz w:val="24"/>
          <w:szCs w:val="24"/>
        </w:rPr>
        <w:t>Dupeyron</w:t>
      </w:r>
      <w:proofErr w:type="spellEnd"/>
      <w:r w:rsidRPr="00BB1C3C">
        <w:rPr>
          <w:rFonts w:ascii="Arial" w:hAnsi="Arial" w:cs="Arial"/>
          <w:sz w:val="24"/>
          <w:szCs w:val="24"/>
        </w:rPr>
        <w:t xml:space="preserve">, </w:t>
      </w:r>
      <w:proofErr w:type="spellStart"/>
      <w:r w:rsidRPr="00BB1C3C">
        <w:rPr>
          <w:rFonts w:ascii="Arial" w:hAnsi="Arial" w:cs="Arial"/>
          <w:sz w:val="24"/>
          <w:szCs w:val="24"/>
        </w:rPr>
        <w:t>Guy</w:t>
      </w:r>
      <w:proofErr w:type="spellEnd"/>
      <w:r w:rsidRPr="00BB1C3C">
        <w:rPr>
          <w:rFonts w:ascii="Arial" w:hAnsi="Arial" w:cs="Arial"/>
          <w:sz w:val="24"/>
          <w:szCs w:val="24"/>
        </w:rPr>
        <w:t xml:space="preserve">, Modelos para el consumo del pan en Xalapa a fines de la colonia, en </w:t>
      </w:r>
      <w:r w:rsidRPr="00BB1C3C">
        <w:rPr>
          <w:rFonts w:ascii="Arial" w:hAnsi="Arial" w:cs="Arial"/>
          <w:i/>
          <w:sz w:val="24"/>
          <w:szCs w:val="24"/>
        </w:rPr>
        <w:t>Población y estructura urbana en México, siglos XVIII y XIX</w:t>
      </w:r>
      <w:r w:rsidRPr="00BB1C3C">
        <w:rPr>
          <w:rFonts w:ascii="Arial" w:hAnsi="Arial" w:cs="Arial"/>
          <w:sz w:val="24"/>
          <w:szCs w:val="24"/>
        </w:rPr>
        <w:t xml:space="preserve">, Carmen Blázquez y otros eds., Mora-U. Ver-UAM, Xalapa, 1996. </w:t>
      </w:r>
    </w:p>
    <w:p w:rsidR="00267F8E" w:rsidRPr="00BB1C3C" w:rsidRDefault="00267F8E" w:rsidP="00267F8E">
      <w:pPr>
        <w:spacing w:after="0" w:line="240" w:lineRule="auto"/>
        <w:ind w:left="993" w:hanging="964"/>
        <w:contextualSpacing/>
        <w:jc w:val="both"/>
        <w:rPr>
          <w:rFonts w:ascii="Arial" w:hAnsi="Arial" w:cs="Arial"/>
          <w:sz w:val="24"/>
          <w:szCs w:val="24"/>
        </w:rPr>
      </w:pPr>
      <w:proofErr w:type="spellStart"/>
      <w:r w:rsidRPr="00BB1C3C">
        <w:rPr>
          <w:rFonts w:ascii="Arial" w:hAnsi="Arial" w:cs="Arial"/>
          <w:sz w:val="24"/>
          <w:szCs w:val="24"/>
        </w:rPr>
        <w:t>Rozat</w:t>
      </w:r>
      <w:proofErr w:type="spellEnd"/>
      <w:r w:rsidRPr="00BB1C3C">
        <w:rPr>
          <w:rFonts w:ascii="Arial" w:hAnsi="Arial" w:cs="Arial"/>
          <w:sz w:val="24"/>
          <w:szCs w:val="24"/>
        </w:rPr>
        <w:t xml:space="preserve"> </w:t>
      </w:r>
      <w:proofErr w:type="spellStart"/>
      <w:r w:rsidRPr="00BB1C3C">
        <w:rPr>
          <w:rFonts w:ascii="Arial" w:hAnsi="Arial" w:cs="Arial"/>
          <w:sz w:val="24"/>
          <w:szCs w:val="24"/>
        </w:rPr>
        <w:t>Dupeyron</w:t>
      </w:r>
      <w:proofErr w:type="spellEnd"/>
      <w:r w:rsidRPr="00BB1C3C">
        <w:rPr>
          <w:rFonts w:ascii="Arial" w:hAnsi="Arial" w:cs="Arial"/>
          <w:sz w:val="24"/>
          <w:szCs w:val="24"/>
        </w:rPr>
        <w:t xml:space="preserve">, </w:t>
      </w:r>
      <w:proofErr w:type="spellStart"/>
      <w:r w:rsidRPr="00BB1C3C">
        <w:rPr>
          <w:rFonts w:ascii="Arial" w:hAnsi="Arial" w:cs="Arial"/>
          <w:sz w:val="24"/>
          <w:szCs w:val="24"/>
        </w:rPr>
        <w:t>Guy</w:t>
      </w:r>
      <w:proofErr w:type="spellEnd"/>
      <w:r w:rsidRPr="00BB1C3C">
        <w:rPr>
          <w:rFonts w:ascii="Arial" w:hAnsi="Arial" w:cs="Arial"/>
          <w:sz w:val="24"/>
          <w:szCs w:val="24"/>
        </w:rPr>
        <w:t xml:space="preserve">, Prácticas alimentarias y vida cotidiana de las mujeres en Xalapa a fines del siglo XVIII, en </w:t>
      </w:r>
      <w:r w:rsidRPr="00BB1C3C">
        <w:rPr>
          <w:rFonts w:ascii="Arial" w:hAnsi="Arial" w:cs="Arial"/>
          <w:i/>
          <w:sz w:val="24"/>
          <w:szCs w:val="24"/>
        </w:rPr>
        <w:t>Mujeres en Veracruz, Fragmentos de una Historia</w:t>
      </w:r>
      <w:r w:rsidRPr="00BB1C3C">
        <w:rPr>
          <w:rFonts w:ascii="Arial" w:hAnsi="Arial" w:cs="Arial"/>
          <w:sz w:val="24"/>
          <w:szCs w:val="24"/>
        </w:rPr>
        <w:t xml:space="preserve">, Fernanda Núñez Becerra y Rosa María </w:t>
      </w:r>
      <w:proofErr w:type="spellStart"/>
      <w:r w:rsidRPr="00BB1C3C">
        <w:rPr>
          <w:rFonts w:ascii="Arial" w:hAnsi="Arial" w:cs="Arial"/>
          <w:sz w:val="24"/>
          <w:szCs w:val="24"/>
        </w:rPr>
        <w:t>Spinoso</w:t>
      </w:r>
      <w:proofErr w:type="spellEnd"/>
      <w:r w:rsidRPr="00BB1C3C">
        <w:rPr>
          <w:rFonts w:ascii="Arial" w:hAnsi="Arial" w:cs="Arial"/>
          <w:sz w:val="24"/>
          <w:szCs w:val="24"/>
        </w:rPr>
        <w:t xml:space="preserve"> </w:t>
      </w:r>
      <w:proofErr w:type="spellStart"/>
      <w:r w:rsidRPr="00BB1C3C">
        <w:rPr>
          <w:rFonts w:ascii="Arial" w:hAnsi="Arial" w:cs="Arial"/>
          <w:sz w:val="24"/>
          <w:szCs w:val="24"/>
        </w:rPr>
        <w:t>Arcocha</w:t>
      </w:r>
      <w:proofErr w:type="spellEnd"/>
      <w:r w:rsidRPr="00BB1C3C">
        <w:rPr>
          <w:rFonts w:ascii="Arial" w:hAnsi="Arial" w:cs="Arial"/>
          <w:sz w:val="24"/>
          <w:szCs w:val="24"/>
        </w:rPr>
        <w:t xml:space="preserve">, </w:t>
      </w:r>
      <w:proofErr w:type="spellStart"/>
      <w:r w:rsidRPr="00BB1C3C">
        <w:rPr>
          <w:rFonts w:ascii="Arial" w:hAnsi="Arial" w:cs="Arial"/>
          <w:sz w:val="24"/>
          <w:szCs w:val="24"/>
        </w:rPr>
        <w:t>coords</w:t>
      </w:r>
      <w:proofErr w:type="spellEnd"/>
      <w:r w:rsidRPr="00BB1C3C">
        <w:rPr>
          <w:rFonts w:ascii="Arial" w:hAnsi="Arial" w:cs="Arial"/>
          <w:sz w:val="24"/>
          <w:szCs w:val="24"/>
        </w:rPr>
        <w:t xml:space="preserve">., Ed del Gob. </w:t>
      </w:r>
      <w:proofErr w:type="gramStart"/>
      <w:r w:rsidRPr="00BB1C3C">
        <w:rPr>
          <w:rFonts w:ascii="Arial" w:hAnsi="Arial" w:cs="Arial"/>
          <w:sz w:val="24"/>
          <w:szCs w:val="24"/>
        </w:rPr>
        <w:t>del</w:t>
      </w:r>
      <w:proofErr w:type="gramEnd"/>
      <w:r w:rsidRPr="00BB1C3C">
        <w:rPr>
          <w:rFonts w:ascii="Arial" w:hAnsi="Arial" w:cs="Arial"/>
          <w:sz w:val="24"/>
          <w:szCs w:val="24"/>
        </w:rPr>
        <w:t xml:space="preserve"> Estado de Veracruz, Xalapa, 2008.</w:t>
      </w:r>
    </w:p>
    <w:p w:rsidR="00267F8E" w:rsidRPr="00BB1C3C" w:rsidRDefault="00267F8E" w:rsidP="00267F8E">
      <w:pPr>
        <w:spacing w:after="0" w:line="240" w:lineRule="auto"/>
        <w:ind w:left="993" w:hanging="964"/>
        <w:contextualSpacing/>
        <w:jc w:val="both"/>
        <w:rPr>
          <w:rFonts w:ascii="Arial" w:hAnsi="Arial" w:cs="Arial"/>
          <w:sz w:val="24"/>
          <w:szCs w:val="24"/>
          <w:lang w:eastAsia="es-MX"/>
        </w:rPr>
      </w:pPr>
    </w:p>
    <w:p w:rsidR="00267F8E" w:rsidRPr="00BB1C3C" w:rsidRDefault="00267F8E" w:rsidP="00267F8E">
      <w:pPr>
        <w:spacing w:after="0" w:line="240" w:lineRule="auto"/>
        <w:contextualSpacing/>
        <w:jc w:val="both"/>
        <w:rPr>
          <w:rFonts w:ascii="Arial" w:hAnsi="Arial" w:cs="Arial"/>
          <w:sz w:val="24"/>
          <w:szCs w:val="24"/>
        </w:rPr>
      </w:pPr>
    </w:p>
    <w:p w:rsidR="00267F8E" w:rsidRPr="00BB1C3C" w:rsidRDefault="00267F8E" w:rsidP="00267F8E">
      <w:pPr>
        <w:spacing w:after="0" w:line="240" w:lineRule="auto"/>
        <w:contextualSpacing/>
        <w:jc w:val="both"/>
        <w:rPr>
          <w:rFonts w:ascii="Arial" w:hAnsi="Arial" w:cs="Arial"/>
          <w:sz w:val="24"/>
          <w:szCs w:val="24"/>
        </w:rPr>
      </w:pPr>
    </w:p>
    <w:p w:rsidR="00267F8E" w:rsidRPr="00BB1C3C" w:rsidRDefault="00267F8E" w:rsidP="00267F8E">
      <w:pPr>
        <w:spacing w:after="0" w:line="240" w:lineRule="auto"/>
        <w:contextualSpacing/>
        <w:jc w:val="both"/>
        <w:rPr>
          <w:rFonts w:ascii="Arial" w:hAnsi="Arial" w:cs="Arial"/>
          <w:sz w:val="24"/>
          <w:szCs w:val="24"/>
        </w:rPr>
      </w:pPr>
    </w:p>
    <w:p w:rsidR="00267F8E" w:rsidRPr="00BB1C3C" w:rsidRDefault="00267F8E" w:rsidP="00267F8E">
      <w:pPr>
        <w:spacing w:after="0" w:line="240" w:lineRule="auto"/>
        <w:contextualSpacing/>
        <w:jc w:val="both"/>
        <w:rPr>
          <w:rFonts w:ascii="Arial" w:hAnsi="Arial" w:cs="Arial"/>
          <w:sz w:val="24"/>
          <w:szCs w:val="24"/>
        </w:rPr>
      </w:pPr>
    </w:p>
    <w:p w:rsidR="00267F8E" w:rsidRPr="00BB1C3C" w:rsidRDefault="00267F8E" w:rsidP="00267F8E">
      <w:pPr>
        <w:spacing w:after="0" w:line="240" w:lineRule="auto"/>
        <w:contextualSpacing/>
        <w:jc w:val="both"/>
        <w:rPr>
          <w:rFonts w:ascii="Arial" w:hAnsi="Arial" w:cs="Arial"/>
          <w:sz w:val="24"/>
          <w:szCs w:val="24"/>
        </w:rPr>
      </w:pPr>
    </w:p>
    <w:p w:rsidR="00267F8E" w:rsidRPr="00BB1C3C" w:rsidRDefault="00267F8E" w:rsidP="00267F8E">
      <w:pPr>
        <w:spacing w:after="0" w:line="240" w:lineRule="auto"/>
        <w:contextualSpacing/>
        <w:jc w:val="both"/>
        <w:rPr>
          <w:rFonts w:ascii="Arial" w:hAnsi="Arial" w:cs="Arial"/>
          <w:sz w:val="24"/>
          <w:szCs w:val="24"/>
        </w:rPr>
      </w:pPr>
    </w:p>
    <w:p w:rsidR="00267F8E" w:rsidRPr="00BB1C3C" w:rsidRDefault="00267F8E" w:rsidP="00267F8E">
      <w:pPr>
        <w:spacing w:after="0" w:line="240" w:lineRule="auto"/>
        <w:contextualSpacing/>
        <w:jc w:val="both"/>
        <w:rPr>
          <w:rFonts w:ascii="Arial" w:hAnsi="Arial" w:cs="Arial"/>
          <w:sz w:val="24"/>
          <w:szCs w:val="24"/>
        </w:rPr>
      </w:pPr>
    </w:p>
    <w:p w:rsidR="00267F8E" w:rsidRPr="00BB1C3C" w:rsidRDefault="00267F8E" w:rsidP="00267F8E">
      <w:pPr>
        <w:spacing w:after="0" w:line="240" w:lineRule="auto"/>
        <w:contextualSpacing/>
        <w:jc w:val="both"/>
        <w:rPr>
          <w:rFonts w:ascii="Arial" w:hAnsi="Arial" w:cs="Arial"/>
          <w:sz w:val="24"/>
          <w:szCs w:val="24"/>
        </w:rPr>
      </w:pPr>
    </w:p>
    <w:p w:rsidR="00267F8E" w:rsidRPr="00BB1C3C" w:rsidRDefault="00267F8E" w:rsidP="00267F8E">
      <w:pPr>
        <w:spacing w:after="0" w:line="240" w:lineRule="auto"/>
        <w:contextualSpacing/>
        <w:jc w:val="both"/>
        <w:rPr>
          <w:rFonts w:ascii="Arial" w:hAnsi="Arial" w:cs="Arial"/>
          <w:sz w:val="24"/>
          <w:szCs w:val="24"/>
        </w:rPr>
      </w:pPr>
    </w:p>
    <w:p w:rsidR="00267F8E" w:rsidRPr="00BB1C3C" w:rsidRDefault="00267F8E" w:rsidP="00267F8E">
      <w:pPr>
        <w:spacing w:after="0" w:line="24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Default="00267F8E" w:rsidP="00267F8E">
      <w:pPr>
        <w:spacing w:after="0" w:line="360" w:lineRule="auto"/>
        <w:contextualSpacing/>
        <w:jc w:val="both"/>
        <w:rPr>
          <w:rFonts w:ascii="Arial" w:hAnsi="Arial" w:cs="Arial"/>
          <w:sz w:val="24"/>
          <w:szCs w:val="24"/>
        </w:rPr>
      </w:pPr>
    </w:p>
    <w:p w:rsidR="00267F8E" w:rsidRDefault="00267F8E" w:rsidP="00267F8E">
      <w:pPr>
        <w:spacing w:after="0" w:line="360" w:lineRule="auto"/>
        <w:contextualSpacing/>
        <w:jc w:val="both"/>
        <w:rPr>
          <w:rFonts w:ascii="Arial" w:hAnsi="Arial" w:cs="Arial"/>
          <w:sz w:val="24"/>
          <w:szCs w:val="24"/>
        </w:rPr>
      </w:pPr>
    </w:p>
    <w:p w:rsidR="00267F8E" w:rsidRDefault="00267F8E" w:rsidP="00267F8E">
      <w:pPr>
        <w:spacing w:after="0" w:line="360" w:lineRule="auto"/>
        <w:contextualSpacing/>
        <w:jc w:val="both"/>
        <w:rPr>
          <w:rFonts w:ascii="Arial" w:hAnsi="Arial" w:cs="Arial"/>
          <w:sz w:val="24"/>
          <w:szCs w:val="24"/>
        </w:rPr>
      </w:pPr>
    </w:p>
    <w:p w:rsidR="00267F8E" w:rsidRDefault="00267F8E" w:rsidP="00267F8E">
      <w:pPr>
        <w:spacing w:after="0" w:line="360" w:lineRule="auto"/>
        <w:contextualSpacing/>
        <w:jc w:val="both"/>
        <w:rPr>
          <w:rFonts w:ascii="Arial" w:hAnsi="Arial" w:cs="Arial"/>
          <w:sz w:val="24"/>
          <w:szCs w:val="24"/>
        </w:rPr>
      </w:pPr>
    </w:p>
    <w:p w:rsidR="00267F8E" w:rsidRDefault="00267F8E" w:rsidP="00267F8E">
      <w:pPr>
        <w:spacing w:after="0" w:line="360" w:lineRule="auto"/>
        <w:contextualSpacing/>
        <w:jc w:val="both"/>
        <w:rPr>
          <w:rFonts w:ascii="Arial" w:hAnsi="Arial" w:cs="Arial"/>
          <w:sz w:val="24"/>
          <w:szCs w:val="24"/>
        </w:rPr>
      </w:pPr>
    </w:p>
    <w:p w:rsidR="00267F8E"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267F8E" w:rsidRPr="00BB1C3C" w:rsidRDefault="00267F8E" w:rsidP="00267F8E">
      <w:pPr>
        <w:spacing w:after="0" w:line="360" w:lineRule="auto"/>
        <w:contextualSpacing/>
        <w:jc w:val="both"/>
        <w:rPr>
          <w:rFonts w:ascii="Arial" w:hAnsi="Arial" w:cs="Arial"/>
          <w:sz w:val="24"/>
          <w:szCs w:val="24"/>
        </w:rPr>
      </w:pPr>
    </w:p>
    <w:p w:rsidR="004B6457" w:rsidRDefault="00E424C3">
      <w:bookmarkStart w:id="1" w:name="_GoBack"/>
      <w:bookmarkEnd w:id="1"/>
    </w:p>
    <w:sectPr w:rsidR="004B645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24C3" w:rsidRDefault="00E424C3" w:rsidP="00267F8E">
      <w:pPr>
        <w:spacing w:after="0" w:line="240" w:lineRule="auto"/>
      </w:pPr>
      <w:r>
        <w:separator/>
      </w:r>
    </w:p>
  </w:endnote>
  <w:endnote w:type="continuationSeparator" w:id="0">
    <w:p w:rsidR="00E424C3" w:rsidRDefault="00E424C3" w:rsidP="00267F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24C3" w:rsidRDefault="00E424C3" w:rsidP="00267F8E">
      <w:pPr>
        <w:spacing w:after="0" w:line="240" w:lineRule="auto"/>
      </w:pPr>
      <w:r>
        <w:separator/>
      </w:r>
    </w:p>
  </w:footnote>
  <w:footnote w:type="continuationSeparator" w:id="0">
    <w:p w:rsidR="00E424C3" w:rsidRDefault="00E424C3" w:rsidP="00267F8E">
      <w:pPr>
        <w:spacing w:after="0" w:line="240" w:lineRule="auto"/>
      </w:pPr>
      <w:r>
        <w:continuationSeparator/>
      </w:r>
    </w:p>
  </w:footnote>
  <w:footnote w:id="1">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Es por eso que ciertas películas que presentan algunas veces a esa gran migración son particularmente grotescas, y fuera de foco histórico, ya que si triunfó en la lucha para la existencia y en el dominio rápido del planeta tierra ese pequeño grupo humano de </w:t>
      </w:r>
      <w:r w:rsidRPr="00C94F64">
        <w:rPr>
          <w:rFonts w:ascii="Arial" w:hAnsi="Arial" w:cs="Arial"/>
          <w:i/>
        </w:rPr>
        <w:t xml:space="preserve">sapiens </w:t>
      </w:r>
      <w:proofErr w:type="spellStart"/>
      <w:r w:rsidRPr="00C94F64">
        <w:rPr>
          <w:rFonts w:ascii="Arial" w:hAnsi="Arial" w:cs="Arial"/>
          <w:i/>
        </w:rPr>
        <w:t>sapiens</w:t>
      </w:r>
      <w:proofErr w:type="spellEnd"/>
      <w:r w:rsidRPr="00C94F64">
        <w:rPr>
          <w:rFonts w:ascii="Arial" w:hAnsi="Arial" w:cs="Arial"/>
        </w:rPr>
        <w:t xml:space="preserve"> es porque estaba dotado ya de aptitudes intelectuales muy semejantes a las nuestras. Estamos muy lejos de las representaciones elaboradas a fines del siglo XIX por autores como J.-H. </w:t>
      </w:r>
      <w:proofErr w:type="spellStart"/>
      <w:r w:rsidRPr="00C94F64">
        <w:rPr>
          <w:rFonts w:ascii="Arial" w:hAnsi="Arial" w:cs="Arial"/>
        </w:rPr>
        <w:t>Rosny</w:t>
      </w:r>
      <w:proofErr w:type="spellEnd"/>
      <w:r w:rsidRPr="00C94F64">
        <w:rPr>
          <w:rFonts w:ascii="Arial" w:hAnsi="Arial" w:cs="Arial"/>
        </w:rPr>
        <w:t xml:space="preserve"> </w:t>
      </w:r>
      <w:proofErr w:type="spellStart"/>
      <w:r w:rsidRPr="00C94F64">
        <w:rPr>
          <w:rFonts w:ascii="Arial" w:hAnsi="Arial" w:cs="Arial"/>
        </w:rPr>
        <w:t>Ainé</w:t>
      </w:r>
      <w:proofErr w:type="spellEnd"/>
      <w:r w:rsidRPr="00C94F64">
        <w:rPr>
          <w:rFonts w:ascii="Arial" w:hAnsi="Arial" w:cs="Arial"/>
        </w:rPr>
        <w:t xml:space="preserve"> y su </w:t>
      </w:r>
      <w:r w:rsidRPr="00C94F64">
        <w:rPr>
          <w:rFonts w:ascii="Arial" w:hAnsi="Arial" w:cs="Arial"/>
          <w:i/>
          <w:iCs/>
        </w:rPr>
        <w:t>Guerra del fuego</w:t>
      </w:r>
      <w:r w:rsidRPr="00C94F64">
        <w:rPr>
          <w:rFonts w:ascii="Arial" w:hAnsi="Arial" w:cs="Arial"/>
        </w:rPr>
        <w:t>. Por otra parte, me parece evidente que en nuestro imaginario de las antiguas culturas, americanas u otras, siguen omnipresentes esas representaciones que tienden a presentar a esos lejanos ancestros con caracteres medio simiescos.</w:t>
      </w:r>
    </w:p>
  </w:footnote>
  <w:footnote w:id="2">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Considérese por ejemplo la reciente “ventisca” que duró del 31 de enero al 2 de febrero 2011 que paraliza a Canadá y Estados Unidos y se hizo sentir hasta Chihuahua, que no es tan excepcional ya que hubo muchas otras registradas desde el Gran Huracán Blanco de 1888. Véase en internet un abundante material sobre ese fenómeno y sus capacidades destructivas, fenómeno que no es sólo americano, como lo muestra la destrucción, por un fenómeno parecido, de un ejército sueco en el invierno de 1718-1719.,</w:t>
      </w:r>
    </w:p>
  </w:footnote>
  <w:footnote w:id="3">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Incluso fue, como lo señalan muchos especialistas, en esa selección que al buscar las plantas más suculentas, es d</w:t>
      </w:r>
      <w:r>
        <w:rPr>
          <w:rFonts w:ascii="Arial" w:hAnsi="Arial" w:cs="Arial"/>
        </w:rPr>
        <w:t xml:space="preserve">ecir, como voluntad de placer, </w:t>
      </w:r>
      <w:r w:rsidRPr="00C94F64">
        <w:rPr>
          <w:rFonts w:ascii="Arial" w:hAnsi="Arial" w:cs="Arial"/>
        </w:rPr>
        <w:t xml:space="preserve">y llevándolas cerca de su hábitat, que empezó un proceso que llevaría posteriormente a la decisión consciente del cultivo de esas mismas plantas; en el caso del altiplano “mexicano”, fue posible formular la hipótesis muy lógica de que fue su gusto por la miel de la caña de los primeros maíces lo llevó a las primeras selecciones de esa planta. </w:t>
      </w:r>
    </w:p>
  </w:footnote>
  <w:footnote w:id="4">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w:t>
      </w:r>
      <w:proofErr w:type="spellStart"/>
      <w:r w:rsidRPr="00C94F64">
        <w:rPr>
          <w:rFonts w:ascii="Arial" w:hAnsi="Arial" w:cs="Arial"/>
        </w:rPr>
        <w:t>Guy</w:t>
      </w:r>
      <w:proofErr w:type="spellEnd"/>
      <w:r w:rsidRPr="00C94F64">
        <w:rPr>
          <w:rFonts w:ascii="Arial" w:hAnsi="Arial" w:cs="Arial"/>
        </w:rPr>
        <w:t xml:space="preserve"> </w:t>
      </w:r>
      <w:proofErr w:type="spellStart"/>
      <w:r w:rsidRPr="00C94F64">
        <w:rPr>
          <w:rFonts w:ascii="Arial" w:hAnsi="Arial" w:cs="Arial"/>
        </w:rPr>
        <w:t>Rozat</w:t>
      </w:r>
      <w:proofErr w:type="spellEnd"/>
      <w:r w:rsidRPr="00C94F64">
        <w:rPr>
          <w:rFonts w:ascii="Arial" w:hAnsi="Arial" w:cs="Arial"/>
        </w:rPr>
        <w:t xml:space="preserve"> </w:t>
      </w:r>
      <w:proofErr w:type="spellStart"/>
      <w:r w:rsidRPr="00C94F64">
        <w:rPr>
          <w:rFonts w:ascii="Arial" w:hAnsi="Arial" w:cs="Arial"/>
        </w:rPr>
        <w:t>Dupeyron</w:t>
      </w:r>
      <w:proofErr w:type="spellEnd"/>
      <w:r w:rsidRPr="00C94F64">
        <w:rPr>
          <w:rFonts w:ascii="Arial" w:hAnsi="Arial" w:cs="Arial"/>
        </w:rPr>
        <w:t xml:space="preserve">, El redentor y sus fantasías técnicas, en </w:t>
      </w:r>
      <w:r w:rsidRPr="00C94F64">
        <w:rPr>
          <w:rFonts w:ascii="Arial" w:hAnsi="Arial" w:cs="Arial"/>
          <w:i/>
        </w:rPr>
        <w:t>Mestizajes tecnológicos y cambios culturales en México</w:t>
      </w:r>
      <w:r w:rsidRPr="00C94F64">
        <w:rPr>
          <w:rFonts w:ascii="Arial" w:hAnsi="Arial" w:cs="Arial"/>
        </w:rPr>
        <w:t xml:space="preserve">, </w:t>
      </w:r>
      <w:proofErr w:type="spellStart"/>
      <w:r w:rsidRPr="00C94F64">
        <w:rPr>
          <w:rFonts w:ascii="Arial" w:hAnsi="Arial" w:cs="Arial"/>
        </w:rPr>
        <w:t>coords</w:t>
      </w:r>
      <w:proofErr w:type="spellEnd"/>
      <w:r w:rsidRPr="00C94F64">
        <w:rPr>
          <w:rFonts w:ascii="Arial" w:hAnsi="Arial" w:cs="Arial"/>
        </w:rPr>
        <w:t>. Enrique Florescano y Virginia García Acosta, CIESAS-M.A. Porrúa, 2004, una primera versión fue publicada en la revista</w:t>
      </w:r>
      <w:r w:rsidRPr="00C94F64">
        <w:rPr>
          <w:rFonts w:ascii="Arial" w:hAnsi="Arial" w:cs="Arial"/>
          <w:i/>
        </w:rPr>
        <w:t xml:space="preserve"> Palos de la Critica</w:t>
      </w:r>
      <w:r w:rsidRPr="00C94F64">
        <w:rPr>
          <w:rFonts w:ascii="Arial" w:hAnsi="Arial" w:cs="Arial"/>
        </w:rPr>
        <w:t xml:space="preserve"> en 1981.    </w:t>
      </w:r>
    </w:p>
  </w:footnote>
  <w:footnote w:id="5">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Algunos ejemplos de esa fecundidad americana: a finales del siglo XVIII, los bobos de los ríos veracruzanos eran todavía un recurso tan importante que llevaba al ayuntamiento de Xalapa a protestar frente a la autoridad contra las pescas prohibidas de los habitantes de La Antigua, que no respetaban las vedas para ese pescado.  Un pescado que podía alcanzar por lo regula los 10 kg, ya que tan sólo su huevera alcanza el 1.70 m de largo. Otro ejemplo bien conocido es la riqueza en salmón de los pueblos </w:t>
      </w:r>
      <w:proofErr w:type="spellStart"/>
      <w:r w:rsidRPr="00C94F64">
        <w:rPr>
          <w:rFonts w:ascii="Arial" w:hAnsi="Arial" w:cs="Arial"/>
        </w:rPr>
        <w:t>Kwakiutl</w:t>
      </w:r>
      <w:proofErr w:type="spellEnd"/>
      <w:r w:rsidRPr="00C94F64">
        <w:rPr>
          <w:rFonts w:ascii="Arial" w:hAnsi="Arial" w:cs="Arial"/>
        </w:rPr>
        <w:t xml:space="preserve"> de la actual Colombia Británica en Canadá, dado que aun en el siglo XIX se podía observar en las bocas de los ríos de esa región millones de salmones “haciendo cola” varios días para remontar los ríos. Otro ejemplo es el de los cetáceos que vivían en el río San Lorenzo en Canadá y que en escasos años fueron diezmados y aniquilados para proporcionar velas y otros productos para lejanos franceses. Y si hoy dejáramos actuar a su antojo a los pescadores japoneses o noruegos, en menos de un decenio serían capaces de hacer desaparecer todas las ballenas de este planeta.</w:t>
      </w:r>
    </w:p>
  </w:footnote>
  <w:footnote w:id="6">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Lo que no quiere decir que en ciertos casos el uso intensivo de algunos pescados y animales haya transformado radicalmente las poblaciones de éstos.</w:t>
      </w:r>
    </w:p>
  </w:footnote>
  <w:footnote w:id="7">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Sobre este problema de la obtención de recursos en estas regiones difíciles del globo, véase el gran libro ya antiguo, pero que sigue siendo un gran clásico de Marshall </w:t>
      </w:r>
      <w:proofErr w:type="spellStart"/>
      <w:r w:rsidRPr="00C94F64">
        <w:rPr>
          <w:rFonts w:ascii="Arial" w:hAnsi="Arial" w:cs="Arial"/>
        </w:rPr>
        <w:t>Sahlins</w:t>
      </w:r>
      <w:proofErr w:type="spellEnd"/>
      <w:r w:rsidRPr="00C94F64">
        <w:rPr>
          <w:rFonts w:ascii="Arial" w:hAnsi="Arial" w:cs="Arial"/>
        </w:rPr>
        <w:t xml:space="preserve">, </w:t>
      </w:r>
      <w:r w:rsidRPr="00C94F64">
        <w:rPr>
          <w:rFonts w:ascii="Arial" w:hAnsi="Arial" w:cs="Arial"/>
          <w:i/>
          <w:iCs/>
        </w:rPr>
        <w:t>La Economía de la Edad de Piedra, la primera sociedad de Abundancia,</w:t>
      </w:r>
      <w:r w:rsidRPr="00C94F64">
        <w:rPr>
          <w:rFonts w:ascii="Arial" w:hAnsi="Arial" w:cs="Arial"/>
        </w:rPr>
        <w:t xml:space="preserve"> AKAL, varias ediciones (disponible en PDF en internet).</w:t>
      </w:r>
    </w:p>
  </w:footnote>
  <w:footnote w:id="8">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Como en las fincas del oeste de Francia, los patos en el momento de  engorda, parecen felices de hacer cola para ser rellenados, de una comida única, que ya también es cierto no tiene nada en común con la alimentación que pudieron tener anteriormente en las praderas, comiendo pasto, insectos, gusanitos, pescaditos, etc. </w:t>
      </w:r>
    </w:p>
  </w:footnote>
  <w:footnote w:id="9">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Tres elementos de reflexión sobre ese punto: a) en el siglo XVI, un pequeño hidalgo de Normandía, </w:t>
      </w:r>
      <w:r w:rsidRPr="00C94F64">
        <w:rPr>
          <w:rFonts w:ascii="Arial" w:hAnsi="Arial" w:cs="Arial"/>
          <w:i/>
        </w:rPr>
        <w:t xml:space="preserve">el Sire de </w:t>
      </w:r>
      <w:proofErr w:type="spellStart"/>
      <w:r w:rsidRPr="00C94F64">
        <w:rPr>
          <w:rFonts w:ascii="Arial" w:hAnsi="Arial" w:cs="Arial"/>
          <w:i/>
        </w:rPr>
        <w:t>Gouberville</w:t>
      </w:r>
      <w:proofErr w:type="spellEnd"/>
      <w:r w:rsidRPr="00C94F64">
        <w:rPr>
          <w:rFonts w:ascii="Arial" w:hAnsi="Arial" w:cs="Arial"/>
        </w:rPr>
        <w:t xml:space="preserve">, que por suerte para nosotros escribió  una especie de diario de todo lo que hacía en su pequeña propiedad y así sabemos que tenía casi un centenar de árboles diferentes de manzanas y peras; b) en la década de 1970, algún burócrata iluminado francés tuvo la sublime idea de querer erradicar de las campiñas francesas todas las antiguas variedades de manzanas para sólo dejar subsistir la pequeña decena de variedades que pudieran tener un destino industrial. Esto llevó inmediatamente a la creación de un </w:t>
      </w:r>
      <w:r w:rsidRPr="00C94F64">
        <w:rPr>
          <w:rFonts w:ascii="Arial" w:hAnsi="Arial" w:cs="Arial"/>
          <w:i/>
          <w:iCs/>
        </w:rPr>
        <w:t>Frente de defensa y de liberación de las manzanas</w:t>
      </w:r>
      <w:r w:rsidRPr="00C94F64">
        <w:rPr>
          <w:rFonts w:ascii="Arial" w:hAnsi="Arial" w:cs="Arial"/>
          <w:iCs/>
        </w:rPr>
        <w:t xml:space="preserve">; y c) un apasionado coleccionista contemporáneo de manzanas en Francia ha podido sistematizar en su </w:t>
      </w:r>
      <w:proofErr w:type="spellStart"/>
      <w:r w:rsidRPr="00C94F64">
        <w:rPr>
          <w:rFonts w:ascii="Arial" w:hAnsi="Arial" w:cs="Arial"/>
          <w:i/>
          <w:iCs/>
        </w:rPr>
        <w:t>tesaurus</w:t>
      </w:r>
      <w:proofErr w:type="spellEnd"/>
      <w:r w:rsidRPr="00C94F64">
        <w:rPr>
          <w:rFonts w:ascii="Arial" w:hAnsi="Arial" w:cs="Arial"/>
          <w:iCs/>
        </w:rPr>
        <w:t xml:space="preserve"> </w:t>
      </w:r>
      <w:r w:rsidRPr="00C94F64">
        <w:rPr>
          <w:rFonts w:ascii="Arial" w:eastAsia="Times New Roman" w:hAnsi="Arial" w:cs="Arial"/>
          <w:color w:val="111111"/>
          <w:lang w:eastAsia="es-MX"/>
        </w:rPr>
        <w:t xml:space="preserve">1540 fichas de manzanas antiguas entre las cuales 87 para hacer sidra, y también identificó 169 variedades de peras. </w:t>
      </w:r>
      <w:hyperlink r:id="rId1" w:history="1">
        <w:r w:rsidRPr="00C94F64">
          <w:rPr>
            <w:rStyle w:val="Hipervnculo"/>
            <w:rFonts w:ascii="Arial" w:hAnsi="Arial" w:cs="Arial"/>
          </w:rPr>
          <w:t>http://www.aujardin.info/fiches/chercheur_pommes.php</w:t>
        </w:r>
      </w:hyperlink>
      <w:r w:rsidRPr="00C94F64">
        <w:rPr>
          <w:rStyle w:val="Hipervnculo"/>
          <w:rFonts w:ascii="Arial" w:hAnsi="Arial" w:cs="Arial"/>
        </w:rPr>
        <w:t xml:space="preserve"> </w:t>
      </w:r>
    </w:p>
  </w:footnote>
  <w:footnote w:id="10">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Porque nos parece muy claro que durante siglos, de forma paralela y después de la domesticación del maíz, los habitantes sacaban una gran parte de su subsistencia en la recolección, incluidas en ella pesca y caza, probablemente más del 50 %, dado que habían logrado inventariar los posibles alimentos en los diferentes ecosistemas con los cuales tenían contacto.</w:t>
      </w:r>
    </w:p>
  </w:footnote>
  <w:footnote w:id="11">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Por ejemplo, es sintomático que a partir del decenio de 1990 un verdaderamente muy exitoso establecimiento de tacos de la Colonia del Valle, en el DF, empezó a incluir elementos de otros sistemas culturales alimentarios, en particular el japonés que empezaba a tener aceptación en sus clientes tradicionales. </w:t>
      </w:r>
    </w:p>
  </w:footnote>
  <w:footnote w:id="12">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Podemos recordar aquí una cierta correspondencia con lo que ocurre en las modas intelectuales; por ejemplo, es clásico en el desarrollo de los estudios históricos ver siempre aparecer “nuevas escuelas”, que muchas veces no son más que la expresión de nuevos profesionistas del gremio que reclaman su derecho a los puestos y honores. Así que podemos probablemente esperar en algunos años la aparición de neo-</w:t>
      </w:r>
      <w:proofErr w:type="spellStart"/>
      <w:r w:rsidRPr="00C94F64">
        <w:rPr>
          <w:rFonts w:ascii="Arial" w:hAnsi="Arial" w:cs="Arial"/>
        </w:rPr>
        <w:t>neococinas</w:t>
      </w:r>
      <w:proofErr w:type="spellEnd"/>
      <w:r w:rsidRPr="00C94F64">
        <w:rPr>
          <w:rFonts w:ascii="Arial" w:hAnsi="Arial" w:cs="Arial"/>
        </w:rPr>
        <w:t xml:space="preserve"> mexicanas que se definirán en contra del momento culinario anterior, y como el mundo de la posmodernidad está sometido a la presión de la velocidad, está aparición no debería tardar mucho. Y al momento de escribir ese ensayo, creo que la multiplicación de restaurantes “veganos” en la capital nos ofrecen nuevos indicios de reflexión sobre la evolución del gusto y las prácticas alimentarias de nuestros conciudadanos. </w:t>
      </w:r>
    </w:p>
  </w:footnote>
  <w:footnote w:id="13">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Como tiende a mostrarlo, por ejemplo en Francia misma, un cierto estancamiento en la inventiva y la realización de los restaurantes franceses incapaces de sostener un nivel gustativo a la altura del monto de la cuenta. No es el lugar para esbozar un análisis de esa decadencia general, pero se puede añadir a los efectos de la modernidad ya mencionados las decisiones burocráticas estatales que obligan en forma casi imperativa a los propietarios de restaurantes a proveerse de sus productos en compañías industriales especializadas, con pretexto de salud pública…y sólo algunos establecimientos de gran lujo pueden escapar de esa uniformización del gusto impuesto por el estado. La cuestión puede ser ahora, ¿saber si un país que no tiene creatividad cotidiana podrá generar los jóvenes chefs que serán los creadores de mañana?</w:t>
      </w:r>
    </w:p>
  </w:footnote>
  <w:footnote w:id="14">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También se me dijo lo mismo cuando expresé mi decepción después en un viaje por Mérida, la capital yucateca, no encontré hace años una cocina a la altura de su reputación. Esto parece significar que esta reputación se ha usurpado o que el término de “comida yucateca” tiene que revisarse históricamente, como todas estas cocinas estatales. </w:t>
      </w:r>
    </w:p>
  </w:footnote>
  <w:footnote w:id="15">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Aunque este restaurante sea el único de su género, es posible que si logra consolidarse, influirá durablemente y esperamos, para bien a los adeptos, clientes, </w:t>
      </w:r>
      <w:r>
        <w:rPr>
          <w:rFonts w:ascii="Arial" w:hAnsi="Arial" w:cs="Arial"/>
        </w:rPr>
        <w:t xml:space="preserve">dueños, cocineros y cocineras, </w:t>
      </w:r>
      <w:r w:rsidRPr="00C94F64">
        <w:rPr>
          <w:rFonts w:ascii="Arial" w:hAnsi="Arial" w:cs="Arial"/>
        </w:rPr>
        <w:t>de una más seria “nueva cocina oaxaqueña”.</w:t>
      </w:r>
    </w:p>
  </w:footnote>
  <w:footnote w:id="16">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Es probable que si fuéramos capaces, por ejemplo, de rehacer una historia sistemática y seria de los chiles, sus migraciones en el país, sus cambios de nombres, sus preparaciones, sus usos diferenciados regionales, tendríamos un marcador muy importante para explicar las evoluciones históricas de las comidas regionales.   </w:t>
      </w:r>
    </w:p>
  </w:footnote>
  <w:footnote w:id="17">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Si ustedes releen las </w:t>
      </w:r>
      <w:r w:rsidRPr="00C94F64">
        <w:rPr>
          <w:rFonts w:ascii="Arial" w:hAnsi="Arial" w:cs="Arial"/>
          <w:i/>
        </w:rPr>
        <w:t xml:space="preserve">Memorias del jefe </w:t>
      </w:r>
      <w:proofErr w:type="spellStart"/>
      <w:r w:rsidRPr="00C94F64">
        <w:rPr>
          <w:rFonts w:ascii="Arial" w:hAnsi="Arial" w:cs="Arial"/>
          <w:i/>
        </w:rPr>
        <w:t>chiricahua</w:t>
      </w:r>
      <w:proofErr w:type="spellEnd"/>
      <w:r w:rsidRPr="00C94F64">
        <w:rPr>
          <w:rFonts w:ascii="Arial" w:hAnsi="Arial" w:cs="Arial"/>
          <w:i/>
        </w:rPr>
        <w:t xml:space="preserve"> Jerónimo</w:t>
      </w:r>
      <w:r w:rsidRPr="00C94F64">
        <w:rPr>
          <w:rFonts w:ascii="Arial" w:hAnsi="Arial" w:cs="Arial"/>
        </w:rPr>
        <w:t xml:space="preserve">, podrán ver que en su pequeña comunidad, los consumos alimenticios eran diferenciados, como en el caso del consumo del pescado, que según su testimonio, algunos segmentos de la comunidad se rehusaban a consumir. </w:t>
      </w:r>
    </w:p>
  </w:footnote>
  <w:footnote w:id="18">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Simposio “Comer en tiempos de guerra: de la Independencia a la Revolución Mexicana</w:t>
      </w:r>
      <w:r w:rsidRPr="00C94F64">
        <w:rPr>
          <w:rFonts w:ascii="Arial" w:hAnsi="Arial" w:cs="Arial"/>
          <w:i/>
        </w:rPr>
        <w:t>…</w:t>
      </w:r>
      <w:r w:rsidRPr="00C94F64">
        <w:rPr>
          <w:rFonts w:ascii="Arial" w:hAnsi="Arial" w:cs="Arial"/>
        </w:rPr>
        <w:t>”, Zacatecas 19 y 20</w:t>
      </w:r>
      <w:r>
        <w:rPr>
          <w:rFonts w:ascii="Arial" w:hAnsi="Arial" w:cs="Arial"/>
        </w:rPr>
        <w:t xml:space="preserve"> de agosto 2010 organizado por </w:t>
      </w:r>
      <w:r w:rsidRPr="00C94F64">
        <w:rPr>
          <w:rFonts w:ascii="Arial" w:hAnsi="Arial" w:cs="Arial"/>
        </w:rPr>
        <w:t>el Consejo Zacatecano de Ciencia y Tecnología y el Instituto Zacatecano de Cultura «Ramón López Velarde».</w:t>
      </w:r>
    </w:p>
  </w:footnote>
  <w:footnote w:id="19">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En la investigación original se intentó pensar el modo de comer de los habitantes del estado de  Veracruz y partes colindantes del de Tabasco en la época considerada. Aunque la mayoría de los datos recabados procedía del territorio actual de Veracruz, debe recordarse que parte del territorio tabasqueño en esa época pertenecía a Veracruz, ya que la frontera entre ambas entidades era fluctuante. </w:t>
      </w:r>
    </w:p>
  </w:footnote>
  <w:footnote w:id="20">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w:t>
      </w:r>
      <w:proofErr w:type="spellStart"/>
      <w:r w:rsidRPr="00C94F64">
        <w:rPr>
          <w:rFonts w:ascii="Arial" w:hAnsi="Arial" w:cs="Arial"/>
        </w:rPr>
        <w:t>Guy</w:t>
      </w:r>
      <w:proofErr w:type="spellEnd"/>
      <w:r w:rsidRPr="00C94F64">
        <w:rPr>
          <w:rFonts w:ascii="Arial" w:hAnsi="Arial" w:cs="Arial"/>
        </w:rPr>
        <w:t xml:space="preserve"> </w:t>
      </w:r>
      <w:proofErr w:type="spellStart"/>
      <w:r w:rsidRPr="00C94F64">
        <w:rPr>
          <w:rFonts w:ascii="Arial" w:hAnsi="Arial" w:cs="Arial"/>
        </w:rPr>
        <w:t>Rozat</w:t>
      </w:r>
      <w:proofErr w:type="spellEnd"/>
      <w:r w:rsidRPr="00C94F64">
        <w:rPr>
          <w:rFonts w:ascii="Arial" w:hAnsi="Arial" w:cs="Arial"/>
        </w:rPr>
        <w:t xml:space="preserve"> </w:t>
      </w:r>
      <w:proofErr w:type="spellStart"/>
      <w:r w:rsidRPr="00C94F64">
        <w:rPr>
          <w:rFonts w:ascii="Arial" w:hAnsi="Arial" w:cs="Arial"/>
        </w:rPr>
        <w:t>Dupeyron</w:t>
      </w:r>
      <w:proofErr w:type="spellEnd"/>
      <w:r w:rsidRPr="00C94F64">
        <w:rPr>
          <w:rFonts w:ascii="Arial" w:hAnsi="Arial" w:cs="Arial"/>
        </w:rPr>
        <w:t xml:space="preserve">, Modelos para el consumo del pan en Xalapa a fines de la colonia, en </w:t>
      </w:r>
      <w:r w:rsidRPr="00C94F64">
        <w:rPr>
          <w:rFonts w:ascii="Arial" w:hAnsi="Arial" w:cs="Arial"/>
          <w:i/>
        </w:rPr>
        <w:t>Población y estructura urbana en México, siglos XVIII y XIX</w:t>
      </w:r>
      <w:r w:rsidRPr="00C94F64">
        <w:rPr>
          <w:rFonts w:ascii="Arial" w:hAnsi="Arial" w:cs="Arial"/>
        </w:rPr>
        <w:t xml:space="preserve">, Carmen Blázquez y otros eds., Mora-U. Ver-UAM, Xalapa, 1996. </w:t>
      </w:r>
      <w:proofErr w:type="spellStart"/>
      <w:r w:rsidRPr="00C94F64">
        <w:rPr>
          <w:rFonts w:ascii="Arial" w:hAnsi="Arial" w:cs="Arial"/>
        </w:rPr>
        <w:t>Guy</w:t>
      </w:r>
      <w:proofErr w:type="spellEnd"/>
      <w:r w:rsidRPr="00C94F64">
        <w:rPr>
          <w:rFonts w:ascii="Arial" w:hAnsi="Arial" w:cs="Arial"/>
        </w:rPr>
        <w:t xml:space="preserve"> </w:t>
      </w:r>
      <w:proofErr w:type="spellStart"/>
      <w:r w:rsidRPr="00C94F64">
        <w:rPr>
          <w:rFonts w:ascii="Arial" w:hAnsi="Arial" w:cs="Arial"/>
        </w:rPr>
        <w:t>Rozat</w:t>
      </w:r>
      <w:proofErr w:type="spellEnd"/>
      <w:r w:rsidRPr="00C94F64">
        <w:rPr>
          <w:rFonts w:ascii="Arial" w:hAnsi="Arial" w:cs="Arial"/>
        </w:rPr>
        <w:t xml:space="preserve"> </w:t>
      </w:r>
      <w:proofErr w:type="spellStart"/>
      <w:r w:rsidRPr="00C94F64">
        <w:rPr>
          <w:rFonts w:ascii="Arial" w:hAnsi="Arial" w:cs="Arial"/>
        </w:rPr>
        <w:t>Dupeyron</w:t>
      </w:r>
      <w:proofErr w:type="spellEnd"/>
      <w:r w:rsidRPr="00C94F64">
        <w:rPr>
          <w:rFonts w:ascii="Arial" w:hAnsi="Arial" w:cs="Arial"/>
        </w:rPr>
        <w:t xml:space="preserve">, </w:t>
      </w:r>
      <w:r w:rsidRPr="00C94F64">
        <w:rPr>
          <w:rFonts w:ascii="Arial" w:hAnsi="Arial" w:cs="Arial"/>
          <w:i/>
        </w:rPr>
        <w:t>El abasto de carne en Xalapa a fines del Siglo XVIII</w:t>
      </w:r>
      <w:r w:rsidRPr="00C94F64">
        <w:rPr>
          <w:rFonts w:ascii="Arial" w:hAnsi="Arial" w:cs="Arial"/>
        </w:rPr>
        <w:t>, en Historia Urbana, segundo congreso RNIU, México, 1999.</w:t>
      </w:r>
    </w:p>
  </w:footnote>
  <w:footnote w:id="21">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Aunque algunos han comprado su cargo y otros son elegidos.</w:t>
      </w:r>
    </w:p>
  </w:footnote>
  <w:footnote w:id="22">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Un delegado del Ayuntamiento encargado de tratar directamente con los productores de trigo de Atlixco provoca un desfalco a las arcas del Ayuntamiento por la diferencia que no advirtió entre las medidas de contenido de Puebla y las de Atlixco. Son finalmente los miembros del cabildo quienes tuvieron que pagar de su bolsillo el faltante.</w:t>
      </w:r>
    </w:p>
  </w:footnote>
  <w:footnote w:id="23">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También el personal del Ayuntamiento, cuando empiezan las amenazas nocturnas sobre la tranquilidad pública durante los años de guerra, participa en el sistema de rondas para proteger la tranquilidad de la ciudadanía, y si hay alguna tropa acantonada en la villa, es sobre ella evidentemente  que trasladarán esa vigilancia, pero a falta de ésta ellos son los responsables primeros de la paz pública.</w:t>
      </w:r>
    </w:p>
  </w:footnote>
  <w:footnote w:id="24">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Incluso ese efecto ha podido mostrarse en los bosques de la lejana Germania cuando llegaban algunas legiones romanas. La agricultura tradicional  de los germanos no tenía suficientes recursos para el abasto regular y cuantioso de estas centenas o miles de soldados y por lo tanto provocaban profundos cambios en los alrededores inmediatos  del campo, pero sobre todo ocasionaba una demanda de productos diversos, además del abasto mucho más allá del Lime en país “non controlado” y por lo tanto allí también causaba profundas transformaciones sin que los soldados romanos hayan puesto un pie aún ahí.</w:t>
      </w:r>
    </w:p>
  </w:footnote>
  <w:footnote w:id="25">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Recuérdese que un soldado profesional no se mueve sin su libra de pan, otra de carne y bastante alcohol. Lo mismo se distribuirá en muchos otros teatros de operaciones militares, por ejemplo en Colombia; estudios recientes muestran las dificultades que tenían los jefes militares independentistas y realistas para satisfacer estas necesidades de las tropas combatientes. </w:t>
      </w:r>
    </w:p>
  </w:footnote>
  <w:footnote w:id="26">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w:t>
      </w:r>
      <w:r w:rsidRPr="00C94F64">
        <w:rPr>
          <w:rFonts w:ascii="Arial" w:hAnsi="Arial" w:cs="Arial"/>
          <w:lang w:val="es-CO"/>
        </w:rPr>
        <w:t xml:space="preserve">Cartagena, con pretexto de la falta de pan, obtuvo el permiso para importar de Estados Unidos en 1807, 44 411 cargas de harina, una harina </w:t>
      </w:r>
      <w:bookmarkStart w:id="0" w:name="_ftnref20"/>
      <w:r w:rsidRPr="00C94F64">
        <w:rPr>
          <w:rFonts w:ascii="Arial" w:hAnsi="Arial" w:cs="Arial"/>
          <w:lang w:val="es-CO"/>
        </w:rPr>
        <w:t>extranjera pero más barata.</w:t>
      </w:r>
      <w:bookmarkEnd w:id="0"/>
      <w:r w:rsidRPr="00C94F64">
        <w:rPr>
          <w:rFonts w:ascii="Arial" w:hAnsi="Arial" w:cs="Arial"/>
          <w:lang w:val="es-CO"/>
        </w:rPr>
        <w:t xml:space="preserve"> Atracaban de manera más o menos legal goletas cargadas de harina, arroz y jamones. Revisado en http://www.historiacocina.com/paises/articulos/pancolombia.htm#_ftn21</w:t>
      </w:r>
    </w:p>
  </w:footnote>
  <w:footnote w:id="27">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Para conocer mejor ese caso, véase </w:t>
      </w:r>
      <w:proofErr w:type="spellStart"/>
      <w:r w:rsidRPr="00C94F64">
        <w:rPr>
          <w:rFonts w:ascii="Arial" w:hAnsi="Arial" w:cs="Arial"/>
        </w:rPr>
        <w:t>Rozat</w:t>
      </w:r>
      <w:proofErr w:type="spellEnd"/>
      <w:r w:rsidRPr="00C94F64">
        <w:rPr>
          <w:rFonts w:ascii="Arial" w:hAnsi="Arial" w:cs="Arial"/>
        </w:rPr>
        <w:t xml:space="preserve"> </w:t>
      </w:r>
      <w:proofErr w:type="spellStart"/>
      <w:r w:rsidRPr="00C94F64">
        <w:rPr>
          <w:rFonts w:ascii="Arial" w:hAnsi="Arial" w:cs="Arial"/>
        </w:rPr>
        <w:t>Dupeyron</w:t>
      </w:r>
      <w:proofErr w:type="spellEnd"/>
      <w:r w:rsidRPr="00C94F64">
        <w:rPr>
          <w:rFonts w:ascii="Arial" w:hAnsi="Arial" w:cs="Arial"/>
        </w:rPr>
        <w:t xml:space="preserve">, </w:t>
      </w:r>
      <w:proofErr w:type="spellStart"/>
      <w:r w:rsidRPr="00C94F64">
        <w:rPr>
          <w:rFonts w:ascii="Arial" w:hAnsi="Arial" w:cs="Arial"/>
        </w:rPr>
        <w:t>Guy</w:t>
      </w:r>
      <w:proofErr w:type="spellEnd"/>
      <w:r w:rsidRPr="00C94F64">
        <w:rPr>
          <w:rFonts w:ascii="Arial" w:hAnsi="Arial" w:cs="Arial"/>
        </w:rPr>
        <w:t xml:space="preserve">, Prácticas alimentarias y vida cotidiana de las mujeres en Xalapa a fines del siglo XVIII, en </w:t>
      </w:r>
      <w:r w:rsidRPr="00C94F64">
        <w:rPr>
          <w:rFonts w:ascii="Arial" w:hAnsi="Arial" w:cs="Arial"/>
          <w:i/>
        </w:rPr>
        <w:t>Mujeres en Veracruz, Fragmentos de una Historia</w:t>
      </w:r>
      <w:r w:rsidRPr="00C94F64">
        <w:rPr>
          <w:rFonts w:ascii="Arial" w:hAnsi="Arial" w:cs="Arial"/>
        </w:rPr>
        <w:t xml:space="preserve">, Fernanda Núñez Becerra y Rosa María </w:t>
      </w:r>
      <w:proofErr w:type="spellStart"/>
      <w:r w:rsidRPr="00C94F64">
        <w:rPr>
          <w:rFonts w:ascii="Arial" w:hAnsi="Arial" w:cs="Arial"/>
        </w:rPr>
        <w:t>Spinoso</w:t>
      </w:r>
      <w:proofErr w:type="spellEnd"/>
      <w:r w:rsidRPr="00C94F64">
        <w:rPr>
          <w:rFonts w:ascii="Arial" w:hAnsi="Arial" w:cs="Arial"/>
        </w:rPr>
        <w:t xml:space="preserve"> </w:t>
      </w:r>
      <w:proofErr w:type="spellStart"/>
      <w:r w:rsidRPr="00C94F64">
        <w:rPr>
          <w:rFonts w:ascii="Arial" w:hAnsi="Arial" w:cs="Arial"/>
        </w:rPr>
        <w:t>Arcocha</w:t>
      </w:r>
      <w:proofErr w:type="spellEnd"/>
      <w:r w:rsidRPr="00C94F64">
        <w:rPr>
          <w:rFonts w:ascii="Arial" w:hAnsi="Arial" w:cs="Arial"/>
        </w:rPr>
        <w:t xml:space="preserve">, </w:t>
      </w:r>
      <w:proofErr w:type="spellStart"/>
      <w:r w:rsidRPr="00C94F64">
        <w:rPr>
          <w:rFonts w:ascii="Arial" w:hAnsi="Arial" w:cs="Arial"/>
        </w:rPr>
        <w:t>coords</w:t>
      </w:r>
      <w:proofErr w:type="spellEnd"/>
      <w:r w:rsidRPr="00C94F64">
        <w:rPr>
          <w:rFonts w:ascii="Arial" w:hAnsi="Arial" w:cs="Arial"/>
        </w:rPr>
        <w:t>., Ed del Gob. del Estado de Veracruz, Xalapa, 2008.</w:t>
      </w:r>
    </w:p>
  </w:footnote>
  <w:footnote w:id="28">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Por ejemplo, si se realiza una receta del </w:t>
      </w:r>
      <w:r w:rsidRPr="00C94F64">
        <w:rPr>
          <w:rFonts w:ascii="Arial" w:hAnsi="Arial" w:cs="Arial"/>
          <w:i/>
        </w:rPr>
        <w:t>Arte  de cocina</w:t>
      </w:r>
      <w:r w:rsidRPr="00C94F64">
        <w:rPr>
          <w:rFonts w:ascii="Arial" w:hAnsi="Arial" w:cs="Arial"/>
        </w:rPr>
        <w:t xml:space="preserve"> de </w:t>
      </w:r>
      <w:proofErr w:type="spellStart"/>
      <w:r w:rsidRPr="00C94F64">
        <w:rPr>
          <w:rFonts w:ascii="Arial" w:hAnsi="Arial" w:cs="Arial"/>
        </w:rPr>
        <w:t>Montiño</w:t>
      </w:r>
      <w:proofErr w:type="spellEnd"/>
      <w:r w:rsidRPr="00C94F64">
        <w:rPr>
          <w:rFonts w:ascii="Arial" w:hAnsi="Arial" w:cs="Arial"/>
        </w:rPr>
        <w:t xml:space="preserve">, una de las biblias culinarias de la época, como </w:t>
      </w:r>
      <w:r w:rsidRPr="00C94F64">
        <w:rPr>
          <w:rFonts w:ascii="Arial" w:hAnsi="Arial" w:cs="Arial"/>
          <w:i/>
        </w:rPr>
        <w:t>las colas de Carnero en agraz</w:t>
      </w:r>
      <w:r w:rsidRPr="00C94F64">
        <w:rPr>
          <w:rFonts w:ascii="Arial" w:hAnsi="Arial" w:cs="Arial"/>
        </w:rPr>
        <w:t xml:space="preserve">, “Tomaras un par de colas de carnero, y las perdigarás en las parrillas, de manera, que estén medio asadas: luego </w:t>
      </w:r>
      <w:proofErr w:type="spellStart"/>
      <w:r w:rsidRPr="00C94F64">
        <w:rPr>
          <w:rFonts w:ascii="Arial" w:hAnsi="Arial" w:cs="Arial"/>
        </w:rPr>
        <w:t>echalas</w:t>
      </w:r>
      <w:proofErr w:type="spellEnd"/>
      <w:r w:rsidRPr="00C94F64">
        <w:rPr>
          <w:rFonts w:ascii="Arial" w:hAnsi="Arial" w:cs="Arial"/>
        </w:rPr>
        <w:t xml:space="preserve">  a cocer con agua , y sal, y tocino gordo, y </w:t>
      </w:r>
      <w:proofErr w:type="spellStart"/>
      <w:r w:rsidRPr="00C94F64">
        <w:rPr>
          <w:rFonts w:ascii="Arial" w:hAnsi="Arial" w:cs="Arial"/>
        </w:rPr>
        <w:t>quando</w:t>
      </w:r>
      <w:proofErr w:type="spellEnd"/>
      <w:r w:rsidRPr="00C94F64">
        <w:rPr>
          <w:rFonts w:ascii="Arial" w:hAnsi="Arial" w:cs="Arial"/>
        </w:rPr>
        <w:t xml:space="preserve"> estén cocidas , tomaras dos libras de agraz, y </w:t>
      </w:r>
      <w:proofErr w:type="spellStart"/>
      <w:r w:rsidRPr="00C94F64">
        <w:rPr>
          <w:rFonts w:ascii="Arial" w:hAnsi="Arial" w:cs="Arial"/>
        </w:rPr>
        <w:t>desgranalo</w:t>
      </w:r>
      <w:proofErr w:type="spellEnd"/>
      <w:r w:rsidRPr="00C94F64">
        <w:rPr>
          <w:rFonts w:ascii="Arial" w:hAnsi="Arial" w:cs="Arial"/>
        </w:rPr>
        <w:t xml:space="preserve">, y échalo a cocer con agua, y cuando estén cocidos, échalos en el colador, y </w:t>
      </w:r>
      <w:proofErr w:type="spellStart"/>
      <w:r w:rsidRPr="00C94F64">
        <w:rPr>
          <w:rFonts w:ascii="Arial" w:hAnsi="Arial" w:cs="Arial"/>
        </w:rPr>
        <w:t>dexalos</w:t>
      </w:r>
      <w:proofErr w:type="spellEnd"/>
      <w:r w:rsidRPr="00C94F64">
        <w:rPr>
          <w:rFonts w:ascii="Arial" w:hAnsi="Arial" w:cs="Arial"/>
        </w:rPr>
        <w:t xml:space="preserve"> escurrir. Luego pásalos  por un cedacillo, de manera, que no quede por pasar más de los granos, yéndole echando del caldo de las colas, y sacarás las colas de la olla, y ponlas en una cazuela, y </w:t>
      </w:r>
      <w:proofErr w:type="spellStart"/>
      <w:r w:rsidRPr="00C94F64">
        <w:rPr>
          <w:rFonts w:ascii="Arial" w:hAnsi="Arial" w:cs="Arial"/>
        </w:rPr>
        <w:t>echale</w:t>
      </w:r>
      <w:proofErr w:type="spellEnd"/>
      <w:r w:rsidRPr="00C94F64">
        <w:rPr>
          <w:rFonts w:ascii="Arial" w:hAnsi="Arial" w:cs="Arial"/>
        </w:rPr>
        <w:t xml:space="preserve"> el agraz pasado, y sazona con todas especies, y un poquito de azafrán, y cuezan un poco con la salsa, y sírvelo sobre </w:t>
      </w:r>
      <w:proofErr w:type="spellStart"/>
      <w:r w:rsidRPr="00C94F64">
        <w:rPr>
          <w:rFonts w:ascii="Arial" w:hAnsi="Arial" w:cs="Arial"/>
        </w:rPr>
        <w:t>revanadas</w:t>
      </w:r>
      <w:proofErr w:type="spellEnd"/>
      <w:r w:rsidRPr="00C94F64">
        <w:rPr>
          <w:rFonts w:ascii="Arial" w:hAnsi="Arial" w:cs="Arial"/>
        </w:rPr>
        <w:t xml:space="preserve"> tostadas”, es evidente que un pan denso como la cemita será de mejor uso gustativo y de presentación ya que no se desagregará como un pan blanco fino.</w:t>
      </w:r>
    </w:p>
  </w:footnote>
  <w:footnote w:id="29">
    <w:p w:rsidR="00267F8E" w:rsidRPr="00C94F64" w:rsidRDefault="00267F8E" w:rsidP="00267F8E">
      <w:pPr>
        <w:pStyle w:val="Textonotapie"/>
        <w:spacing w:after="0" w:line="240" w:lineRule="auto"/>
        <w:contextualSpacing/>
        <w:jc w:val="both"/>
        <w:rPr>
          <w:rFonts w:ascii="Arial" w:hAnsi="Arial" w:cs="Arial"/>
        </w:rPr>
      </w:pPr>
      <w:r w:rsidRPr="00C94F64">
        <w:rPr>
          <w:rFonts w:ascii="Arial" w:hAnsi="Arial" w:cs="Arial"/>
          <w:vertAlign w:val="superscript"/>
        </w:rPr>
        <w:t>12</w:t>
      </w:r>
      <w:r w:rsidRPr="00C94F64">
        <w:rPr>
          <w:rFonts w:ascii="Arial" w:hAnsi="Arial" w:cs="Arial"/>
        </w:rPr>
        <w:t xml:space="preserve"> Ese ideal en medios populares sólo ha desaparecido apenas hace unos cuantos años. Unos 40 años antes, la mayoría de las niñitas y quinceañeras de San Ángel  tenían más bien un discreto sobrepeso. Hoy parecen más bien modelos de </w:t>
      </w:r>
      <w:r w:rsidRPr="00C94F64">
        <w:rPr>
          <w:rFonts w:ascii="Arial" w:hAnsi="Arial" w:cs="Arial"/>
          <w:i/>
        </w:rPr>
        <w:t>Vogue</w:t>
      </w:r>
      <w:r w:rsidRPr="00C94F64">
        <w:rPr>
          <w:rFonts w:ascii="Arial" w:hAnsi="Arial" w:cs="Arial"/>
        </w:rPr>
        <w:t>, aunque quedan todavía algunas mujeres más bien gordas, muchas probablemente acomplejadas.</w:t>
      </w:r>
    </w:p>
  </w:footnote>
  <w:footnote w:id="30">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Si bien los lienzos de la época representan a los santos y místicos muy flacos y verdosos por sus ayunos y sacrificios, cuando se representaban a alguna autoridad religiosa, el retrato era más bien el de un personaje ligeramente obeso. </w:t>
      </w:r>
    </w:p>
  </w:footnote>
  <w:footnote w:id="31">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La regla general en ese grupo de privilegiados era consumir carneros castrados de un año. El consumo preferencial de dicha carne se vuelve explícita si se considera la simbólica sagrada del borrego en el cristianismo, o el judaísmo, cuya tradición  sigue manifestándose hasta en el islam contemporáneo, en la fiesta del AID en la cual cada familia musulmana debe sacrificar un borrego…</w:t>
      </w:r>
    </w:p>
  </w:footnote>
  <w:footnote w:id="32">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En el AMX se encuentran muchas quejas contra los empleados de la carnicería oficial en la distribución de la carne, porque como se vendían tantas libras por un real, toda la carne tenía el mismo precio, pero es evidente que había trozos más suculentos, más tiernos, que los empleados podían reservar, aunque fuese prohibido, a sus amigos, queridas o mejores clientes…</w:t>
      </w:r>
    </w:p>
  </w:footnote>
  <w:footnote w:id="33">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Véase antes la receta de </w:t>
      </w:r>
      <w:proofErr w:type="spellStart"/>
      <w:r w:rsidRPr="00C94F64">
        <w:rPr>
          <w:rFonts w:ascii="Arial" w:hAnsi="Arial" w:cs="Arial"/>
        </w:rPr>
        <w:t>Montiño</w:t>
      </w:r>
      <w:proofErr w:type="spellEnd"/>
      <w:r w:rsidRPr="00C94F64">
        <w:rPr>
          <w:rFonts w:ascii="Arial" w:hAnsi="Arial" w:cs="Arial"/>
        </w:rPr>
        <w:t xml:space="preserve"> acerca de los pasos de la cocción de las colas de cordero.</w:t>
      </w:r>
    </w:p>
  </w:footnote>
  <w:footnote w:id="34">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w:t>
      </w:r>
      <w:proofErr w:type="spellStart"/>
      <w:r w:rsidRPr="00C94F64">
        <w:rPr>
          <w:rFonts w:ascii="Arial" w:hAnsi="Arial" w:cs="Arial"/>
        </w:rPr>
        <w:t>Rozat</w:t>
      </w:r>
      <w:proofErr w:type="spellEnd"/>
      <w:r w:rsidRPr="00C94F64">
        <w:rPr>
          <w:rFonts w:ascii="Arial" w:hAnsi="Arial" w:cs="Arial"/>
        </w:rPr>
        <w:t xml:space="preserve">  </w:t>
      </w:r>
      <w:proofErr w:type="spellStart"/>
      <w:r w:rsidRPr="00C94F64">
        <w:rPr>
          <w:rFonts w:ascii="Arial" w:hAnsi="Arial" w:cs="Arial"/>
        </w:rPr>
        <w:t>Dupeyron</w:t>
      </w:r>
      <w:proofErr w:type="spellEnd"/>
      <w:r w:rsidRPr="00C94F64">
        <w:rPr>
          <w:rFonts w:ascii="Arial" w:hAnsi="Arial" w:cs="Arial"/>
        </w:rPr>
        <w:t xml:space="preserve"> </w:t>
      </w:r>
      <w:proofErr w:type="spellStart"/>
      <w:r w:rsidRPr="00C94F64">
        <w:rPr>
          <w:rFonts w:ascii="Arial" w:hAnsi="Arial" w:cs="Arial"/>
        </w:rPr>
        <w:t>Guy</w:t>
      </w:r>
      <w:proofErr w:type="spellEnd"/>
      <w:r w:rsidRPr="00C94F64">
        <w:rPr>
          <w:rFonts w:ascii="Arial" w:hAnsi="Arial" w:cs="Arial"/>
        </w:rPr>
        <w:t>. El abasto de carne en Xalapa a fines del Siglo XVIII. Historia Urbana. Edit. RNIU, México 1999</w:t>
      </w:r>
    </w:p>
  </w:footnote>
  <w:footnote w:id="35">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Enriqueta Quiroz, </w:t>
      </w:r>
      <w:r w:rsidRPr="00C94F64">
        <w:rPr>
          <w:rFonts w:ascii="Arial" w:hAnsi="Arial" w:cs="Arial"/>
          <w:i/>
        </w:rPr>
        <w:t>Entre el lujo y la subsistencia. Mercado, abastecimiento y precios de la carne, en la ciudad de México</w:t>
      </w:r>
      <w:r w:rsidRPr="00C94F64">
        <w:rPr>
          <w:rFonts w:ascii="Arial" w:hAnsi="Arial" w:cs="Arial"/>
        </w:rPr>
        <w:t xml:space="preserve"> 1750-1812, edit. COLMEX-Mora, México, 2005. Ese libro debe ser una lectura obligatoria para todos los que pretender adentrarse en la historia de la alimentación en México.</w:t>
      </w:r>
    </w:p>
  </w:footnote>
  <w:footnote w:id="36">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Es evidente que aquí ese cálculo es sólo modélico y revela la gran accesibilidad de la carne para el sector popular.</w:t>
      </w:r>
    </w:p>
  </w:footnote>
  <w:footnote w:id="37">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Si se puede calcular la cantidad de carne de res y borrego disponible es porque, como ya se mencionó,  se paga arancel por el degüello de estos animales. Pero como la entrada a la villa de los cerdos y su matanza eran libres, no se dispone elementos estadísticos para calcular la cantidad que pueden ingurgitar los jalapeños, pero todos los testimonios muestran que no se imagina un caldo nocturno sin sus tocinos, embutidos o jamones.  En resumen, todo deja pensar que había más bien una sobreoferta, prácticamente ilimitada, de carne en la villa en esos años.</w:t>
      </w:r>
    </w:p>
  </w:footnote>
  <w:footnote w:id="38">
    <w:p w:rsidR="00267F8E" w:rsidRPr="00C94F64" w:rsidRDefault="00267F8E" w:rsidP="00267F8E">
      <w:pPr>
        <w:pStyle w:val="Textonotapie"/>
        <w:spacing w:after="0" w:line="240" w:lineRule="auto"/>
        <w:contextualSpacing/>
        <w:jc w:val="both"/>
        <w:rPr>
          <w:rFonts w:ascii="Arial" w:hAnsi="Arial" w:cs="Arial"/>
        </w:rPr>
      </w:pPr>
      <w:r w:rsidRPr="00C94F64">
        <w:rPr>
          <w:rStyle w:val="Refdenotaalpie"/>
          <w:rFonts w:ascii="Arial" w:hAnsi="Arial" w:cs="Arial"/>
        </w:rPr>
        <w:footnoteRef/>
      </w:r>
      <w:r w:rsidRPr="00C94F64">
        <w:rPr>
          <w:rFonts w:ascii="Arial" w:hAnsi="Arial" w:cs="Arial"/>
        </w:rPr>
        <w:t xml:space="preserve"> Esto no significa que el consumo del tasajo sea una invención de ese momento, ya que evidentemente existía la carne seca desde siglos, sino que puede presuponerse que esa nueva propuesta masiva de carne influyó de forma duradera en la manera de comer la carne de res en México.</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F8E"/>
    <w:rsid w:val="00267F8E"/>
    <w:rsid w:val="00A94CD3"/>
    <w:rsid w:val="00E424C3"/>
    <w:rsid w:val="00F701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F8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267F8E"/>
    <w:rPr>
      <w:sz w:val="20"/>
      <w:szCs w:val="20"/>
    </w:rPr>
  </w:style>
  <w:style w:type="character" w:customStyle="1" w:styleId="TextonotapieCar">
    <w:name w:val="Texto nota pie Car"/>
    <w:basedOn w:val="Fuentedeprrafopredeter"/>
    <w:link w:val="Textonotapie"/>
    <w:uiPriority w:val="99"/>
    <w:rsid w:val="00267F8E"/>
    <w:rPr>
      <w:rFonts w:ascii="Calibri" w:eastAsia="Calibri" w:hAnsi="Calibri" w:cs="Times New Roman"/>
      <w:sz w:val="20"/>
      <w:szCs w:val="20"/>
    </w:rPr>
  </w:style>
  <w:style w:type="character" w:styleId="Refdenotaalpie">
    <w:name w:val="footnote reference"/>
    <w:uiPriority w:val="99"/>
    <w:unhideWhenUsed/>
    <w:rsid w:val="00267F8E"/>
    <w:rPr>
      <w:vertAlign w:val="superscript"/>
    </w:rPr>
  </w:style>
  <w:style w:type="paragraph" w:styleId="Textoindependiente">
    <w:name w:val="Body Text"/>
    <w:basedOn w:val="Normal"/>
    <w:link w:val="TextoindependienteCar"/>
    <w:uiPriority w:val="99"/>
    <w:rsid w:val="00267F8E"/>
    <w:pPr>
      <w:spacing w:after="120"/>
    </w:pPr>
    <w:rPr>
      <w:rFonts w:cs="Calibri"/>
    </w:rPr>
  </w:style>
  <w:style w:type="character" w:customStyle="1" w:styleId="TextoindependienteCar">
    <w:name w:val="Texto independiente Car"/>
    <w:basedOn w:val="Fuentedeprrafopredeter"/>
    <w:link w:val="Textoindependiente"/>
    <w:uiPriority w:val="99"/>
    <w:rsid w:val="00267F8E"/>
    <w:rPr>
      <w:rFonts w:ascii="Calibri" w:eastAsia="Calibri" w:hAnsi="Calibri" w:cs="Calibri"/>
    </w:rPr>
  </w:style>
  <w:style w:type="character" w:styleId="Hipervnculo">
    <w:name w:val="Hyperlink"/>
    <w:uiPriority w:val="99"/>
    <w:unhideWhenUsed/>
    <w:rsid w:val="00267F8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F8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267F8E"/>
    <w:rPr>
      <w:sz w:val="20"/>
      <w:szCs w:val="20"/>
    </w:rPr>
  </w:style>
  <w:style w:type="character" w:customStyle="1" w:styleId="TextonotapieCar">
    <w:name w:val="Texto nota pie Car"/>
    <w:basedOn w:val="Fuentedeprrafopredeter"/>
    <w:link w:val="Textonotapie"/>
    <w:uiPriority w:val="99"/>
    <w:rsid w:val="00267F8E"/>
    <w:rPr>
      <w:rFonts w:ascii="Calibri" w:eastAsia="Calibri" w:hAnsi="Calibri" w:cs="Times New Roman"/>
      <w:sz w:val="20"/>
      <w:szCs w:val="20"/>
    </w:rPr>
  </w:style>
  <w:style w:type="character" w:styleId="Refdenotaalpie">
    <w:name w:val="footnote reference"/>
    <w:uiPriority w:val="99"/>
    <w:unhideWhenUsed/>
    <w:rsid w:val="00267F8E"/>
    <w:rPr>
      <w:vertAlign w:val="superscript"/>
    </w:rPr>
  </w:style>
  <w:style w:type="paragraph" w:styleId="Textoindependiente">
    <w:name w:val="Body Text"/>
    <w:basedOn w:val="Normal"/>
    <w:link w:val="TextoindependienteCar"/>
    <w:uiPriority w:val="99"/>
    <w:rsid w:val="00267F8E"/>
    <w:pPr>
      <w:spacing w:after="120"/>
    </w:pPr>
    <w:rPr>
      <w:rFonts w:cs="Calibri"/>
    </w:rPr>
  </w:style>
  <w:style w:type="character" w:customStyle="1" w:styleId="TextoindependienteCar">
    <w:name w:val="Texto independiente Car"/>
    <w:basedOn w:val="Fuentedeprrafopredeter"/>
    <w:link w:val="Textoindependiente"/>
    <w:uiPriority w:val="99"/>
    <w:rsid w:val="00267F8E"/>
    <w:rPr>
      <w:rFonts w:ascii="Calibri" w:eastAsia="Calibri" w:hAnsi="Calibri" w:cs="Calibri"/>
    </w:rPr>
  </w:style>
  <w:style w:type="character" w:styleId="Hipervnculo">
    <w:name w:val="Hyperlink"/>
    <w:uiPriority w:val="99"/>
    <w:unhideWhenUsed/>
    <w:rsid w:val="00267F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istoriacocina.com/paises/articulos/pancolombia.ht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aujardin.info/fiches/chercheur_pommes.php"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41</Pages>
  <Words>12196</Words>
  <Characters>67080</Characters>
  <Application>Microsoft Office Word</Application>
  <DocSecurity>0</DocSecurity>
  <Lines>559</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GUY_ROZAT</dc:creator>
  <cp:lastModifiedBy>GUY_ROZAT</cp:lastModifiedBy>
  <cp:revision>1</cp:revision>
  <dcterms:created xsi:type="dcterms:W3CDTF">2015-11-03T17:23:00Z</dcterms:created>
  <dcterms:modified xsi:type="dcterms:W3CDTF">2015-11-03T17:25:00Z</dcterms:modified>
</cp:coreProperties>
</file>